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24" w:afterLines="50" w:line="520" w:lineRule="exact"/>
        <w:textAlignment w:val="auto"/>
        <w:rPr>
          <w:rFonts w:eastAsia="黑体"/>
          <w:szCs w:val="32"/>
        </w:rPr>
      </w:pPr>
      <w:r>
        <w:rPr>
          <w:rFonts w:eastAsia="黑体"/>
          <w:szCs w:val="32"/>
        </w:rPr>
        <w:t>附件</w:t>
      </w:r>
    </w:p>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eastAsia"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sz w:val="44"/>
          <w:szCs w:val="44"/>
        </w:rPr>
        <w:t>2022年广东省强化知识产权工作项目需求征集表</w:t>
      </w:r>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Cs w:val="30"/>
        </w:rPr>
      </w:pPr>
    </w:p>
    <w:p>
      <w:pPr>
        <w:spacing w:after="43" w:afterLines="10"/>
        <w:rPr>
          <w:rFonts w:hint="eastAsia"/>
          <w:szCs w:val="30"/>
          <w:u w:val="single"/>
        </w:rPr>
      </w:pPr>
      <w:r>
        <w:rPr>
          <w:rFonts w:hint="eastAsia"/>
          <w:szCs w:val="30"/>
        </w:rPr>
        <w:t>填报单位：</w:t>
      </w:r>
      <w:r>
        <w:rPr>
          <w:rFonts w:hint="eastAsia"/>
          <w:szCs w:val="30"/>
          <w:u w:val="single"/>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1514"/>
        <w:gridCol w:w="2085"/>
        <w:gridCol w:w="4215"/>
        <w:gridCol w:w="2107"/>
        <w:gridCol w:w="828"/>
        <w:gridCol w:w="164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eastAsia="黑体"/>
                <w:sz w:val="24"/>
                <w:szCs w:val="24"/>
              </w:rPr>
            </w:pPr>
            <w:r>
              <w:rPr>
                <w:rFonts w:eastAsia="黑体"/>
                <w:sz w:val="24"/>
                <w:szCs w:val="24"/>
              </w:rPr>
              <w:t>大类</w:t>
            </w:r>
          </w:p>
        </w:tc>
        <w:tc>
          <w:tcPr>
            <w:tcW w:w="151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eastAsia="黑体"/>
                <w:sz w:val="24"/>
                <w:szCs w:val="24"/>
              </w:rPr>
            </w:pPr>
            <w:r>
              <w:rPr>
                <w:rFonts w:hint="eastAsia" w:eastAsia="黑体"/>
                <w:sz w:val="24"/>
                <w:szCs w:val="24"/>
              </w:rPr>
              <w:t>重点政策或工作</w:t>
            </w:r>
          </w:p>
        </w:tc>
        <w:tc>
          <w:tcPr>
            <w:tcW w:w="208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eastAsia="黑体"/>
                <w:sz w:val="24"/>
                <w:szCs w:val="24"/>
              </w:rPr>
            </w:pPr>
            <w:r>
              <w:rPr>
                <w:rFonts w:eastAsia="黑体"/>
                <w:sz w:val="24"/>
                <w:szCs w:val="24"/>
              </w:rPr>
              <w:t>项目名称</w:t>
            </w:r>
          </w:p>
        </w:tc>
        <w:tc>
          <w:tcPr>
            <w:tcW w:w="42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eastAsia="黑体"/>
                <w:sz w:val="24"/>
                <w:szCs w:val="24"/>
              </w:rPr>
            </w:pPr>
            <w:r>
              <w:rPr>
                <w:rFonts w:hint="eastAsia" w:eastAsia="黑体"/>
                <w:sz w:val="24"/>
                <w:szCs w:val="24"/>
              </w:rPr>
              <w:t>项目方向</w:t>
            </w:r>
          </w:p>
        </w:tc>
        <w:tc>
          <w:tcPr>
            <w:tcW w:w="210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280" w:hanging="240" w:hangingChars="100"/>
              <w:jc w:val="center"/>
              <w:textAlignment w:val="auto"/>
              <w:rPr>
                <w:rFonts w:hint="eastAsia" w:eastAsia="黑体"/>
                <w:sz w:val="24"/>
                <w:szCs w:val="24"/>
              </w:rPr>
            </w:pPr>
            <w:r>
              <w:rPr>
                <w:rFonts w:eastAsia="黑体"/>
                <w:sz w:val="24"/>
                <w:szCs w:val="24"/>
              </w:rPr>
              <w:t>申报</w:t>
            </w:r>
            <w:r>
              <w:rPr>
                <w:rFonts w:hint="eastAsia" w:eastAsia="黑体"/>
                <w:sz w:val="24"/>
                <w:szCs w:val="24"/>
              </w:rPr>
              <w:t>（工作）</w:t>
            </w:r>
          </w:p>
          <w:p>
            <w:pPr>
              <w:keepNext w:val="0"/>
              <w:keepLines w:val="0"/>
              <w:pageBreakBefore w:val="0"/>
              <w:widowControl w:val="0"/>
              <w:kinsoku/>
              <w:wordWrap/>
              <w:overflowPunct/>
              <w:topLinePunct w:val="0"/>
              <w:autoSpaceDE/>
              <w:autoSpaceDN/>
              <w:bidi w:val="0"/>
              <w:adjustRightInd/>
              <w:snapToGrid/>
              <w:spacing w:line="320" w:lineRule="exact"/>
              <w:ind w:left="280" w:hanging="240" w:hangingChars="100"/>
              <w:jc w:val="center"/>
              <w:textAlignment w:val="auto"/>
              <w:rPr>
                <w:rFonts w:eastAsia="黑体"/>
                <w:sz w:val="24"/>
                <w:szCs w:val="24"/>
              </w:rPr>
            </w:pPr>
            <w:r>
              <w:rPr>
                <w:rFonts w:eastAsia="黑体"/>
                <w:sz w:val="24"/>
                <w:szCs w:val="24"/>
              </w:rPr>
              <w:t>主体</w:t>
            </w:r>
          </w:p>
        </w:tc>
        <w:tc>
          <w:tcPr>
            <w:tcW w:w="82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黑体"/>
                <w:sz w:val="24"/>
                <w:szCs w:val="24"/>
              </w:rPr>
            </w:pPr>
            <w:r>
              <w:rPr>
                <w:rFonts w:hint="eastAsia" w:eastAsia="黑体"/>
                <w:sz w:val="24"/>
                <w:szCs w:val="24"/>
              </w:rPr>
              <w:t>经费预算</w:t>
            </w:r>
          </w:p>
        </w:tc>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黑体"/>
                <w:sz w:val="24"/>
                <w:szCs w:val="24"/>
              </w:rPr>
            </w:pPr>
            <w:r>
              <w:rPr>
                <w:rFonts w:hint="eastAsia" w:eastAsia="黑体"/>
                <w:sz w:val="24"/>
                <w:szCs w:val="24"/>
              </w:rPr>
              <w:t>项目绩效</w:t>
            </w:r>
          </w:p>
        </w:tc>
        <w:tc>
          <w:tcPr>
            <w:tcW w:w="119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黑体"/>
                <w:sz w:val="24"/>
                <w:szCs w:val="24"/>
              </w:rPr>
            </w:pPr>
            <w:r>
              <w:rPr>
                <w:rFonts w:hint="eastAsia" w:eastAsia="黑体"/>
                <w:sz w:val="24"/>
                <w:szCs w:val="24"/>
              </w:rPr>
              <w:t>意见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eastAsia="黑体"/>
                <w:sz w:val="24"/>
                <w:szCs w:val="24"/>
              </w:rPr>
            </w:pPr>
            <w:r>
              <w:rPr>
                <w:rFonts w:eastAsia="黑体"/>
                <w:sz w:val="24"/>
                <w:szCs w:val="24"/>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81" w:type="dxa"/>
            <w:vMerge w:val="restart"/>
            <w:noWrap w:val="0"/>
            <w:vAlign w:val="center"/>
          </w:tcPr>
          <w:p>
            <w:pPr>
              <w:widowControl/>
              <w:spacing w:line="300" w:lineRule="exact"/>
              <w:jc w:val="both"/>
              <w:textAlignment w:val="center"/>
              <w:rPr>
                <w:rFonts w:hint="eastAsia" w:ascii="宋体" w:hAnsi="宋体" w:eastAsia="宋体" w:cs="宋体"/>
                <w:b/>
                <w:bCs/>
                <w:sz w:val="21"/>
                <w:szCs w:val="21"/>
              </w:rPr>
            </w:pPr>
            <w:r>
              <w:rPr>
                <w:rFonts w:hint="eastAsia" w:ascii="黑体" w:hAnsi="黑体" w:eastAsia="黑体" w:cs="黑体"/>
                <w:sz w:val="21"/>
                <w:szCs w:val="21"/>
              </w:rPr>
              <w:t>一、知识产权“放管服”改革和区域布局</w:t>
            </w:r>
          </w:p>
        </w:tc>
        <w:tc>
          <w:tcPr>
            <w:tcW w:w="1514" w:type="dxa"/>
            <w:vMerge w:val="restart"/>
            <w:noWrap w:val="0"/>
            <w:vAlign w:val="center"/>
          </w:tcPr>
          <w:p>
            <w:pPr>
              <w:widowControl/>
              <w:spacing w:line="300" w:lineRule="exact"/>
              <w:textAlignment w:val="center"/>
              <w:rPr>
                <w:rFonts w:hint="eastAsia" w:ascii="宋体" w:hAnsi="宋体" w:eastAsia="宋体" w:cs="宋体"/>
                <w:color w:val="auto"/>
                <w:sz w:val="21"/>
                <w:szCs w:val="21"/>
                <w:lang w:bidi="ar"/>
              </w:rPr>
            </w:pPr>
            <w:r>
              <w:rPr>
                <w:rFonts w:hint="eastAsia" w:ascii="宋体" w:hAnsi="宋体" w:eastAsia="宋体" w:cs="宋体"/>
                <w:color w:val="auto"/>
                <w:sz w:val="21"/>
                <w:szCs w:val="21"/>
                <w:lang w:bidi="ar"/>
              </w:rPr>
              <w:t>粤港澳大湾区知识产权推进</w:t>
            </w:r>
          </w:p>
        </w:tc>
        <w:tc>
          <w:tcPr>
            <w:tcW w:w="2085"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1.粤港澳大湾区国际知识产权合作中心建设工程</w:t>
            </w:r>
          </w:p>
        </w:tc>
        <w:tc>
          <w:tcPr>
            <w:tcW w:w="4215"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制定粤港澳大湾区国际知识产权合作中心建设规划，开展粤港澳大湾区国际知识产权合作中心建设工作。</w:t>
            </w:r>
          </w:p>
        </w:tc>
        <w:tc>
          <w:tcPr>
            <w:tcW w:w="2107"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可承接粤港澳大湾区国际知识产权合作中心建设任务的机构</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spacing w:line="300" w:lineRule="exact"/>
              <w:textAlignment w:val="center"/>
              <w:rPr>
                <w:rFonts w:hint="eastAsia" w:ascii="宋体" w:hAnsi="宋体" w:eastAsia="宋体" w:cs="宋体"/>
                <w:color w:val="auto"/>
                <w:sz w:val="21"/>
                <w:szCs w:val="21"/>
                <w:lang w:bidi="ar"/>
              </w:rPr>
            </w:pPr>
          </w:p>
        </w:tc>
        <w:tc>
          <w:tcPr>
            <w:tcW w:w="2085" w:type="dxa"/>
            <w:noWrap w:val="0"/>
            <w:vAlign w:val="center"/>
          </w:tcPr>
          <w:p>
            <w:pPr>
              <w:rPr>
                <w:rFonts w:hint="eastAsia" w:ascii="宋体" w:hAnsi="宋体" w:eastAsia="宋体" w:cs="宋体"/>
                <w:color w:val="auto"/>
                <w:sz w:val="21"/>
                <w:szCs w:val="21"/>
                <w:lang w:bidi="ar"/>
              </w:rPr>
            </w:pPr>
            <w:r>
              <w:rPr>
                <w:rFonts w:hint="eastAsia" w:ascii="宋体" w:hAnsi="宋体" w:eastAsia="宋体" w:cs="宋体"/>
                <w:color w:val="auto"/>
                <w:sz w:val="21"/>
                <w:szCs w:val="21"/>
              </w:rPr>
              <w:t>（可加行）</w:t>
            </w:r>
          </w:p>
        </w:tc>
        <w:tc>
          <w:tcPr>
            <w:tcW w:w="4215" w:type="dxa"/>
            <w:noWrap w:val="0"/>
            <w:vAlign w:val="center"/>
          </w:tcPr>
          <w:p>
            <w:pPr>
              <w:widowControl/>
              <w:spacing w:line="300" w:lineRule="exact"/>
              <w:textAlignment w:val="center"/>
              <w:rPr>
                <w:rFonts w:hint="eastAsia" w:ascii="宋体" w:hAnsi="宋体" w:eastAsia="宋体" w:cs="宋体"/>
                <w:color w:val="auto"/>
                <w:sz w:val="21"/>
                <w:szCs w:val="21"/>
                <w:lang w:bidi="ar"/>
              </w:rPr>
            </w:pPr>
          </w:p>
        </w:tc>
        <w:tc>
          <w:tcPr>
            <w:tcW w:w="2107" w:type="dxa"/>
            <w:noWrap w:val="0"/>
            <w:vAlign w:val="center"/>
          </w:tcPr>
          <w:p>
            <w:pPr>
              <w:widowControl/>
              <w:spacing w:line="300" w:lineRule="exact"/>
              <w:textAlignment w:val="center"/>
              <w:rPr>
                <w:rFonts w:hint="eastAsia" w:ascii="宋体" w:hAnsi="宋体" w:eastAsia="宋体" w:cs="宋体"/>
                <w:color w:val="auto"/>
                <w:sz w:val="21"/>
                <w:szCs w:val="21"/>
                <w:lang w:bidi="ar"/>
              </w:rPr>
            </w:pP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continue"/>
            <w:noWrap w:val="0"/>
            <w:vAlign w:val="center"/>
          </w:tcPr>
          <w:p>
            <w:pPr>
              <w:spacing w:line="300" w:lineRule="exact"/>
              <w:jc w:val="center"/>
              <w:rPr>
                <w:rFonts w:hint="eastAsia" w:ascii="宋体" w:hAnsi="宋体" w:eastAsia="宋体" w:cs="宋体"/>
                <w:b/>
                <w:bCs/>
                <w:sz w:val="21"/>
                <w:szCs w:val="21"/>
              </w:rPr>
            </w:pPr>
          </w:p>
        </w:tc>
        <w:tc>
          <w:tcPr>
            <w:tcW w:w="1514" w:type="dxa"/>
            <w:vMerge w:val="restart"/>
            <w:noWrap w:val="0"/>
            <w:vAlign w:val="center"/>
          </w:tcPr>
          <w:p>
            <w:pPr>
              <w:widowControl/>
              <w:spacing w:line="300" w:lineRule="exact"/>
              <w:textAlignment w:val="center"/>
              <w:rPr>
                <w:rFonts w:hint="eastAsia" w:ascii="宋体" w:hAnsi="宋体" w:eastAsia="宋体" w:cs="宋体"/>
                <w:color w:val="auto"/>
                <w:sz w:val="21"/>
                <w:szCs w:val="21"/>
                <w:lang w:bidi="ar"/>
              </w:rPr>
            </w:pPr>
            <w:r>
              <w:rPr>
                <w:rFonts w:hint="eastAsia" w:ascii="宋体" w:hAnsi="宋体" w:eastAsia="宋体" w:cs="宋体"/>
                <w:color w:val="auto"/>
                <w:sz w:val="21"/>
                <w:szCs w:val="21"/>
                <w:lang w:bidi="ar"/>
              </w:rPr>
              <w:t>知识产权综合改革试验和自贸试验区知识产权工作</w:t>
            </w:r>
          </w:p>
        </w:tc>
        <w:tc>
          <w:tcPr>
            <w:tcW w:w="2085"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2.中新广州知识城知识产权综合改革试验工作</w:t>
            </w:r>
          </w:p>
        </w:tc>
        <w:tc>
          <w:tcPr>
            <w:tcW w:w="4215"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结合本地知识产权高质量发展需要，开展知识产综合改革试验工作，形成可复制、可推广的具体经验和做法。</w:t>
            </w:r>
          </w:p>
        </w:tc>
        <w:tc>
          <w:tcPr>
            <w:tcW w:w="2107"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符合条件的市局、县区局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81" w:type="dxa"/>
            <w:vMerge w:val="continue"/>
            <w:noWrap w:val="0"/>
            <w:vAlign w:val="center"/>
          </w:tcPr>
          <w:p>
            <w:pPr>
              <w:spacing w:line="300" w:lineRule="exact"/>
              <w:jc w:val="center"/>
              <w:rPr>
                <w:rFonts w:hint="eastAsia" w:ascii="宋体" w:hAnsi="宋体" w:eastAsia="宋体" w:cs="宋体"/>
                <w:b/>
                <w:bCs/>
                <w:sz w:val="21"/>
                <w:szCs w:val="21"/>
              </w:rPr>
            </w:pPr>
          </w:p>
        </w:tc>
        <w:tc>
          <w:tcPr>
            <w:tcW w:w="1514" w:type="dxa"/>
            <w:vMerge w:val="continue"/>
            <w:noWrap w:val="0"/>
            <w:vAlign w:val="center"/>
          </w:tcPr>
          <w:p>
            <w:pPr>
              <w:widowControl/>
              <w:spacing w:line="300" w:lineRule="exact"/>
              <w:textAlignment w:val="center"/>
              <w:rPr>
                <w:rFonts w:hint="eastAsia" w:ascii="宋体" w:hAnsi="宋体" w:eastAsia="宋体" w:cs="宋体"/>
                <w:color w:val="auto"/>
                <w:sz w:val="21"/>
                <w:szCs w:val="21"/>
                <w:lang w:bidi="ar"/>
              </w:rPr>
            </w:pPr>
          </w:p>
        </w:tc>
        <w:tc>
          <w:tcPr>
            <w:tcW w:w="2085"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（可加行）</w:t>
            </w:r>
          </w:p>
        </w:tc>
        <w:tc>
          <w:tcPr>
            <w:tcW w:w="4215" w:type="dxa"/>
            <w:noWrap w:val="0"/>
            <w:vAlign w:val="center"/>
          </w:tcPr>
          <w:p>
            <w:pPr>
              <w:widowControl/>
              <w:spacing w:line="300" w:lineRule="exact"/>
              <w:textAlignment w:val="center"/>
              <w:rPr>
                <w:rFonts w:hint="eastAsia" w:ascii="宋体" w:hAnsi="宋体" w:eastAsia="宋体" w:cs="宋体"/>
                <w:color w:val="auto"/>
                <w:sz w:val="21"/>
                <w:szCs w:val="21"/>
                <w:lang w:bidi="ar"/>
              </w:rPr>
            </w:pPr>
          </w:p>
        </w:tc>
        <w:tc>
          <w:tcPr>
            <w:tcW w:w="2107" w:type="dxa"/>
            <w:noWrap w:val="0"/>
            <w:vAlign w:val="center"/>
          </w:tcPr>
          <w:p>
            <w:pPr>
              <w:widowControl/>
              <w:spacing w:line="300" w:lineRule="exact"/>
              <w:textAlignment w:val="center"/>
              <w:rPr>
                <w:rFonts w:hint="eastAsia" w:ascii="宋体" w:hAnsi="宋体" w:eastAsia="宋体" w:cs="宋体"/>
                <w:color w:val="auto"/>
                <w:sz w:val="21"/>
                <w:szCs w:val="21"/>
                <w:lang w:bidi="ar"/>
              </w:rPr>
            </w:pP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81" w:type="dxa"/>
            <w:vMerge w:val="continue"/>
            <w:noWrap w:val="0"/>
            <w:vAlign w:val="center"/>
          </w:tcPr>
          <w:p>
            <w:pPr>
              <w:spacing w:line="300" w:lineRule="exact"/>
              <w:jc w:val="center"/>
              <w:rPr>
                <w:rFonts w:hint="eastAsia" w:ascii="宋体" w:hAnsi="宋体" w:eastAsia="宋体" w:cs="宋体"/>
                <w:b/>
                <w:bCs/>
                <w:sz w:val="21"/>
                <w:szCs w:val="21"/>
              </w:rPr>
            </w:pPr>
          </w:p>
        </w:tc>
        <w:tc>
          <w:tcPr>
            <w:tcW w:w="1514" w:type="dxa"/>
            <w:noWrap w:val="0"/>
            <w:vAlign w:val="center"/>
          </w:tcPr>
          <w:p>
            <w:pPr>
              <w:widowControl/>
              <w:spacing w:line="300" w:lineRule="exact"/>
              <w:textAlignment w:val="center"/>
              <w:rPr>
                <w:rFonts w:hint="eastAsia" w:ascii="宋体" w:hAnsi="宋体" w:eastAsia="宋体" w:cs="宋体"/>
                <w:color w:val="auto"/>
                <w:sz w:val="21"/>
                <w:szCs w:val="21"/>
                <w:lang w:bidi="ar"/>
              </w:rPr>
            </w:pPr>
            <w:r>
              <w:rPr>
                <w:rFonts w:hint="eastAsia" w:ascii="宋体" w:hAnsi="宋体" w:eastAsia="宋体" w:cs="宋体"/>
                <w:color w:val="auto"/>
                <w:sz w:val="21"/>
                <w:szCs w:val="21"/>
                <w:lang w:bidi="ar"/>
              </w:rPr>
              <w:t>知识产权“放管服”改革</w:t>
            </w:r>
          </w:p>
        </w:tc>
        <w:tc>
          <w:tcPr>
            <w:tcW w:w="2085"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（可加行）</w:t>
            </w:r>
          </w:p>
        </w:tc>
        <w:tc>
          <w:tcPr>
            <w:tcW w:w="4215"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2107"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481" w:type="dxa"/>
            <w:vMerge w:val="continue"/>
            <w:noWrap w:val="0"/>
            <w:vAlign w:val="center"/>
          </w:tcPr>
          <w:p>
            <w:pPr>
              <w:spacing w:line="300" w:lineRule="exact"/>
              <w:jc w:val="center"/>
              <w:rPr>
                <w:rFonts w:hint="eastAsia" w:ascii="宋体" w:hAnsi="宋体" w:eastAsia="宋体" w:cs="宋体"/>
                <w:b/>
                <w:bCs/>
                <w:sz w:val="21"/>
                <w:szCs w:val="21"/>
              </w:rPr>
            </w:pPr>
          </w:p>
        </w:tc>
        <w:tc>
          <w:tcPr>
            <w:tcW w:w="1514" w:type="dxa"/>
            <w:noWrap w:val="0"/>
            <w:vAlign w:val="center"/>
          </w:tcPr>
          <w:p>
            <w:pPr>
              <w:widowControl/>
              <w:spacing w:line="300" w:lineRule="exact"/>
              <w:textAlignment w:val="center"/>
              <w:rPr>
                <w:rFonts w:hint="eastAsia" w:ascii="宋体" w:hAnsi="宋体" w:eastAsia="宋体" w:cs="宋体"/>
                <w:color w:val="auto"/>
                <w:sz w:val="21"/>
                <w:szCs w:val="21"/>
                <w:lang w:bidi="ar"/>
              </w:rPr>
            </w:pPr>
            <w:r>
              <w:rPr>
                <w:rFonts w:hint="eastAsia" w:ascii="宋体" w:hAnsi="宋体" w:eastAsia="宋体" w:cs="宋体"/>
                <w:color w:val="auto"/>
                <w:sz w:val="21"/>
                <w:szCs w:val="21"/>
                <w:lang w:bidi="ar"/>
              </w:rPr>
              <w:t>强国体系下的市县知识产权试点示范工作</w:t>
            </w:r>
          </w:p>
        </w:tc>
        <w:tc>
          <w:tcPr>
            <w:tcW w:w="2085"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（可加行）</w:t>
            </w:r>
          </w:p>
          <w:p>
            <w:pPr>
              <w:widowControl/>
              <w:spacing w:line="300" w:lineRule="exact"/>
              <w:textAlignment w:val="center"/>
              <w:rPr>
                <w:rFonts w:hint="eastAsia" w:ascii="宋体" w:hAnsi="宋体" w:eastAsia="宋体" w:cs="宋体"/>
                <w:color w:val="auto"/>
                <w:sz w:val="21"/>
                <w:szCs w:val="21"/>
              </w:rPr>
            </w:pPr>
          </w:p>
        </w:tc>
        <w:tc>
          <w:tcPr>
            <w:tcW w:w="4215"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2107"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481" w:type="dxa"/>
            <w:vMerge w:val="restart"/>
            <w:noWrap w:val="0"/>
            <w:vAlign w:val="center"/>
          </w:tcPr>
          <w:p>
            <w:pPr>
              <w:widowControl/>
              <w:spacing w:line="300" w:lineRule="exact"/>
              <w:jc w:val="both"/>
              <w:textAlignment w:val="center"/>
              <w:rPr>
                <w:rFonts w:hint="eastAsia" w:ascii="黑体" w:hAnsi="黑体" w:eastAsia="黑体" w:cs="黑体"/>
                <w:sz w:val="21"/>
                <w:szCs w:val="21"/>
              </w:rPr>
            </w:pPr>
            <w:r>
              <w:rPr>
                <w:rFonts w:hint="eastAsia" w:ascii="黑体" w:hAnsi="黑体" w:eastAsia="黑体" w:cs="黑体"/>
                <w:sz w:val="21"/>
                <w:szCs w:val="21"/>
              </w:rPr>
              <w:t>二、知识产权高质量创造和创新主体能力提升</w:t>
            </w:r>
          </w:p>
          <w:p>
            <w:pPr>
              <w:widowControl/>
              <w:spacing w:line="300" w:lineRule="exact"/>
              <w:jc w:val="both"/>
              <w:textAlignment w:val="center"/>
              <w:rPr>
                <w:rFonts w:hint="eastAsia" w:ascii="宋体" w:hAnsi="宋体" w:eastAsia="宋体" w:cs="宋体"/>
                <w:sz w:val="21"/>
                <w:szCs w:val="21"/>
              </w:rPr>
            </w:pPr>
          </w:p>
        </w:tc>
        <w:tc>
          <w:tcPr>
            <w:tcW w:w="1514" w:type="dxa"/>
            <w:vMerge w:val="restart"/>
            <w:noWrap w:val="0"/>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知识产权高质量提升</w:t>
            </w: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1.高价值专利培育布局中心建设</w:t>
            </w:r>
          </w:p>
        </w:tc>
        <w:tc>
          <w:tcPr>
            <w:tcW w:w="4215"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聚焦战略性产业集群关键领域和重点技术攻关节点，开展高价值发明专利国内外布局，构建高价值专利组合。</w:t>
            </w:r>
          </w:p>
        </w:tc>
        <w:tc>
          <w:tcPr>
            <w:tcW w:w="2107" w:type="dxa"/>
            <w:noWrap w:val="0"/>
            <w:vAlign w:val="center"/>
          </w:tcPr>
          <w:p>
            <w:pPr>
              <w:widowControl/>
              <w:numPr>
                <w:ilvl w:val="0"/>
                <w:numId w:val="1"/>
              </w:numPr>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各市局；</w:t>
            </w:r>
          </w:p>
          <w:p>
            <w:pPr>
              <w:widowControl/>
              <w:numPr>
                <w:ilvl w:val="0"/>
                <w:numId w:val="1"/>
              </w:numPr>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符合条件的企业联合知识产权服务机构共同申报</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2.知识产权助力科创企业上市培育项目</w:t>
            </w:r>
          </w:p>
        </w:tc>
        <w:tc>
          <w:tcPr>
            <w:tcW w:w="4215" w:type="dxa"/>
            <w:noWrap w:val="0"/>
            <w:vAlign w:val="center"/>
          </w:tcPr>
          <w:p>
            <w:pPr>
              <w:widowControl/>
              <w:spacing w:line="30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各地支持拟上市科创企业建立知识产权工作制度和管理机制，开展科创属性知识产权研发创新和储备运营，指导科创企业提高知识产权市场保护能力，各地及时总结，</w:t>
            </w:r>
            <w:r>
              <w:rPr>
                <w:rFonts w:hint="eastAsia" w:ascii="宋体" w:hAnsi="宋体" w:eastAsia="宋体" w:cs="宋体"/>
                <w:color w:val="auto"/>
                <w:kern w:val="0"/>
                <w:sz w:val="21"/>
                <w:szCs w:val="21"/>
                <w:lang w:bidi="ar"/>
              </w:rPr>
              <w:t>形成可复制、可推广的具体经验和做法。</w:t>
            </w:r>
          </w:p>
        </w:tc>
        <w:tc>
          <w:tcPr>
            <w:tcW w:w="2107" w:type="dxa"/>
            <w:noWrap w:val="0"/>
            <w:vAlign w:val="center"/>
          </w:tcPr>
          <w:p>
            <w:pPr>
              <w:widowControl/>
              <w:numPr>
                <w:ilvl w:val="0"/>
                <w:numId w:val="2"/>
              </w:numPr>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各市局</w:t>
            </w:r>
          </w:p>
          <w:p>
            <w:pPr>
              <w:widowControl/>
              <w:numPr>
                <w:ilvl w:val="0"/>
                <w:numId w:val="2"/>
              </w:numPr>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符合条件的知识产权服务机构</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3.知识产权强企培育促进项目</w:t>
            </w:r>
          </w:p>
        </w:tc>
        <w:tc>
          <w:tcPr>
            <w:tcW w:w="4215" w:type="dxa"/>
            <w:noWrap w:val="0"/>
            <w:vAlign w:val="center"/>
          </w:tcPr>
          <w:p>
            <w:pPr>
              <w:widowControl/>
              <w:spacing w:line="30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根据国家知识产权工作部署，负责完成我省国家知识产权优势示范企业培育相关工作。</w:t>
            </w:r>
          </w:p>
        </w:tc>
        <w:tc>
          <w:tcPr>
            <w:tcW w:w="2107"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可独立承担法律责任的省级知识产权行业组织、社会团体</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4.企业知识产权贯标推进</w:t>
            </w:r>
          </w:p>
        </w:tc>
        <w:tc>
          <w:tcPr>
            <w:tcW w:w="4215" w:type="dxa"/>
            <w:noWrap w:val="0"/>
            <w:vAlign w:val="center"/>
          </w:tcPr>
          <w:p>
            <w:pPr>
              <w:widowControl/>
              <w:spacing w:line="30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推动企业高质量贯彻实施知识产权管理规范。</w:t>
            </w:r>
          </w:p>
        </w:tc>
        <w:tc>
          <w:tcPr>
            <w:tcW w:w="2107"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各市局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5.广东省专利审查员实践与创新促进基地建设</w:t>
            </w:r>
          </w:p>
        </w:tc>
        <w:tc>
          <w:tcPr>
            <w:tcW w:w="4215" w:type="dxa"/>
            <w:noWrap w:val="0"/>
            <w:vAlign w:val="center"/>
          </w:tcPr>
          <w:p>
            <w:pPr>
              <w:widowControl/>
              <w:spacing w:line="30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组织专利审查员深入基地开展实践与创新促进活动。</w:t>
            </w:r>
          </w:p>
        </w:tc>
        <w:tc>
          <w:tcPr>
            <w:tcW w:w="2107"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符合申报条件的单位</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6.粤港澳大湾区高价值专利培育布局大赛</w:t>
            </w:r>
          </w:p>
        </w:tc>
        <w:tc>
          <w:tcPr>
            <w:tcW w:w="4215" w:type="dxa"/>
            <w:noWrap w:val="0"/>
            <w:vAlign w:val="center"/>
          </w:tcPr>
          <w:p>
            <w:pPr>
              <w:widowControl/>
              <w:spacing w:line="30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举办2022年粤港澳大湾区高价专利培育布局大赛。</w:t>
            </w:r>
          </w:p>
        </w:tc>
        <w:tc>
          <w:tcPr>
            <w:tcW w:w="2107" w:type="dxa"/>
            <w:noWrap w:val="0"/>
            <w:vAlign w:val="center"/>
          </w:tcPr>
          <w:p>
            <w:pPr>
              <w:rPr>
                <w:rFonts w:hint="eastAsia" w:ascii="宋体" w:hAnsi="宋体" w:eastAsia="宋体" w:cs="宋体"/>
                <w:color w:val="auto"/>
                <w:sz w:val="21"/>
                <w:szCs w:val="21"/>
              </w:rPr>
            </w:pPr>
          </w:p>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粤港澳大湾区内地地市</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spacing w:line="300" w:lineRule="exact"/>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（可加行）</w:t>
            </w:r>
          </w:p>
        </w:tc>
        <w:tc>
          <w:tcPr>
            <w:tcW w:w="4215" w:type="dxa"/>
            <w:noWrap w:val="0"/>
            <w:vAlign w:val="center"/>
          </w:tcPr>
          <w:p>
            <w:pPr>
              <w:widowControl/>
              <w:spacing w:line="300" w:lineRule="exact"/>
              <w:textAlignment w:val="center"/>
              <w:rPr>
                <w:rFonts w:hint="eastAsia" w:ascii="宋体" w:hAnsi="宋体" w:eastAsia="宋体" w:cs="宋体"/>
                <w:color w:val="auto"/>
                <w:kern w:val="0"/>
                <w:sz w:val="21"/>
                <w:szCs w:val="21"/>
              </w:rPr>
            </w:pPr>
          </w:p>
        </w:tc>
        <w:tc>
          <w:tcPr>
            <w:tcW w:w="2107"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restart"/>
            <w:noWrap w:val="0"/>
            <w:vAlign w:val="center"/>
          </w:tcPr>
          <w:p>
            <w:pPr>
              <w:widowControl/>
              <w:spacing w:line="300" w:lineRule="exact"/>
              <w:jc w:val="both"/>
              <w:textAlignment w:val="center"/>
              <w:rPr>
                <w:rFonts w:hint="eastAsia" w:ascii="宋体" w:hAnsi="宋体" w:eastAsia="宋体" w:cs="宋体"/>
                <w:sz w:val="21"/>
                <w:szCs w:val="21"/>
              </w:rPr>
            </w:pPr>
            <w:r>
              <w:rPr>
                <w:rFonts w:hint="eastAsia" w:ascii="黑体" w:hAnsi="黑体" w:eastAsia="黑体" w:cs="黑体"/>
                <w:sz w:val="21"/>
                <w:szCs w:val="21"/>
              </w:rPr>
              <w:t>三、强化知识产权保护</w:t>
            </w:r>
          </w:p>
        </w:tc>
        <w:tc>
          <w:tcPr>
            <w:tcW w:w="1514" w:type="dxa"/>
            <w:vMerge w:val="restart"/>
            <w:noWrap w:val="0"/>
            <w:vAlign w:val="center"/>
          </w:tcPr>
          <w:p>
            <w:pPr>
              <w:widowControl/>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强化知识产权保护</w:t>
            </w: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1.知识产权保护中心、快维中心快速协同保护能力提升</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加强现有省内各国家级知识产权保护中心、快维中心快速协同保护能力建设。</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各市局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2.申报建设知识产权保护中心、快维中心</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支持各地市根据产业发展需求，申报、筹建新一批国家级知识产权保护中心、快维中心。</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各市局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3.知识产权维权援助机构建设</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1.支持各地市（含县区）新设立建设国家级、省级知识产权维权援助中心；</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2.支持各地市对现有知识产权维权援助机构能力建设。</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各市局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4.知识产权维权援助服务一体化平台建设</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支持建设全省知识产权维权援助服务一体化“一张网”平台</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可独立承担法律责任的省级事业单位</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5.知识产权纠纷行政裁决效能提升</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推动专利侵权纠纷行政裁决与市场监管综合行政执法融合，加强知识产权行政裁决队伍专业化、职业化建设，加大专利侵权纠纷行政裁决力度，提升行政裁决效能。</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各市局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6.专利侵权判定技术咨询服务</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为全省专利行政执法部门提供专利侵权判定技术咨询服务</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可独立承担法律责任的事业单位</w:t>
            </w:r>
          </w:p>
        </w:tc>
        <w:tc>
          <w:tcPr>
            <w:tcW w:w="828" w:type="dxa"/>
            <w:noWrap w:val="0"/>
            <w:vAlign w:val="center"/>
          </w:tcPr>
          <w:p>
            <w:pPr>
              <w:widowControl/>
              <w:textAlignment w:val="center"/>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7.知识产权纠纷调解</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开展知识产权纠纷调解工作，提升调解效能，及时化解知识产权纠纷。</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各市局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spacing w:val="-6"/>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pacing w:val="-6"/>
                <w:sz w:val="21"/>
                <w:szCs w:val="21"/>
              </w:rPr>
              <w:t>8.企业知识产权市场保护能力建设</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1.支持各地市针对战略性产业集群企业、“专精特新”企业和高新技术企业，通过开展公益培训等方式，引导重点企业强化知识产权保护意识和提升市场保护能力，增进企业知识产权保护方面的获得感； </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2.支持省级知识产权行业协会面向省内战略性产业集群企业提供知识产权纠纷调解、公益培训、宣传交流等服务，提升企业知识产权保护意识和市场保护能力，增进企业知识产权保护方面的获得感。</w:t>
            </w:r>
          </w:p>
        </w:tc>
        <w:tc>
          <w:tcPr>
            <w:tcW w:w="2107" w:type="dxa"/>
            <w:noWrap w:val="0"/>
            <w:vAlign w:val="center"/>
          </w:tcPr>
          <w:p>
            <w:pPr>
              <w:widowControl/>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1.各市局；</w:t>
            </w:r>
          </w:p>
          <w:p>
            <w:pPr>
              <w:widowControl/>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2.可独立承担法律责任的省级知识产权行业协会</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spacing w:val="-6"/>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pacing w:val="-6"/>
                <w:sz w:val="21"/>
                <w:szCs w:val="21"/>
              </w:rPr>
              <w:t>9.企业商标品牌维权援助工作</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结合商标品牌战略有关政策要求，面向省内企业提供商标保护方面的宣传培训、法律咨询、维权援助等工作。</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可独立承担法律责任的省级知识产权行业协会</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spacing w:val="-6"/>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pacing w:val="-6"/>
                <w:sz w:val="21"/>
                <w:szCs w:val="21"/>
              </w:rPr>
              <w:t>10.商标品牌管理及保护水平提升指引工作</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pacing w:val="-6"/>
                <w:sz w:val="21"/>
                <w:szCs w:val="21"/>
              </w:rPr>
              <w:t>建立商标保护指数评价指标体系，制定及发布相关团体标准，提升产业及企业商标品牌保护和管理能力。</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pacing w:val="-6"/>
                <w:sz w:val="21"/>
                <w:szCs w:val="21"/>
              </w:rPr>
              <w:t>可独立承担法律责任的省级知识产权行业协会</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pacing w:val="-6"/>
                <w:sz w:val="21"/>
                <w:szCs w:val="21"/>
              </w:rPr>
              <w:t>11.商标恶意抢注前置预警及商标侵权判定咨询机制</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pacing w:val="-6"/>
                <w:sz w:val="21"/>
                <w:szCs w:val="21"/>
              </w:rPr>
              <w:t>建立商标恶意抢注前置预警、商标侵权判定咨询和商标信息支撑机制，维护良好商标注册秩序，为商标侵权执法办案提供咨询。</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pacing w:val="-6"/>
                <w:sz w:val="21"/>
                <w:szCs w:val="21"/>
              </w:rPr>
              <w:t>可独立承担法律责任的知识产权事业单位</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pacing w:val="-6"/>
                <w:sz w:val="21"/>
                <w:szCs w:val="21"/>
              </w:rPr>
              <w:t>12.知识产权信用分级分类指标和评价模型建设</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pacing w:val="-6"/>
                <w:sz w:val="21"/>
                <w:szCs w:val="21"/>
              </w:rPr>
              <w:t>研究建立知识产权信用分级分类指标和评价模型，推动知识产权信用分级分类监管。</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pacing w:val="-6"/>
                <w:sz w:val="21"/>
                <w:szCs w:val="21"/>
              </w:rPr>
              <w:t>可独立承担法律责任的省级知识产权行业协会</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pacing w:val="-6"/>
                <w:sz w:val="21"/>
                <w:szCs w:val="21"/>
              </w:rPr>
              <w:t>13.知识产权区域协同保护（含粤港澳大湾区协同保护）</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pacing w:val="-6"/>
                <w:sz w:val="21"/>
                <w:szCs w:val="21"/>
              </w:rPr>
              <w:t>组织开展知识产权省内外跨区域保护协作与交流活动；探索建立知识产权跨区域协作机制、信息交换机制，提高知识产权区域协同保护效能。</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pacing w:val="-6"/>
                <w:sz w:val="21"/>
                <w:szCs w:val="21"/>
              </w:rPr>
              <w:t>各市局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14.重点展会知识产权保护</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完善各地市重点展会知识产权保护机制，进驻重点展会开展知识产权保护工作。</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各市局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15.广交会等大型展会知识产权保护效能提升</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协助组织开展广交会、中博会、国际灯光音响展等大型展会知识产权保护工作，提供法律服务、会务等相关保障；总结推广广交会知识产权保护工作先进经验。</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可独立承担法律责任的省级知识产权行业组织、社会团体</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16.专业市场知识产权保护</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建立健全专业市场知识产权纠纷快速处理机制等保护工作机制，加强专业市场知识产权保护。</w:t>
            </w:r>
          </w:p>
        </w:tc>
        <w:tc>
          <w:tcPr>
            <w:tcW w:w="2107" w:type="dxa"/>
            <w:noWrap w:val="0"/>
            <w:vAlign w:val="center"/>
          </w:tcPr>
          <w:p>
            <w:pPr>
              <w:widowControl/>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各市局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noWrap w:val="0"/>
            <w:vAlign w:val="center"/>
          </w:tcPr>
          <w:p>
            <w:pPr>
              <w:widowControl/>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17.电商领域知识产权保护</w:t>
            </w:r>
          </w:p>
        </w:tc>
        <w:tc>
          <w:tcPr>
            <w:tcW w:w="4215" w:type="dxa"/>
            <w:noWrap w:val="0"/>
            <w:vAlign w:val="center"/>
          </w:tcPr>
          <w:p>
            <w:pPr>
              <w:widowControl/>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健全电商领域知识产权保护工作机制，加强电商领域知识产权执法保护，净化电商领域知识产权保护环境。</w:t>
            </w:r>
          </w:p>
        </w:tc>
        <w:tc>
          <w:tcPr>
            <w:tcW w:w="2107" w:type="dxa"/>
            <w:noWrap w:val="0"/>
            <w:vAlign w:val="center"/>
          </w:tcPr>
          <w:p>
            <w:pPr>
              <w:widowControl/>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各市局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18.电商平台知识保护规范化建设</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支持大型电子商务平台建设知识产权保护机制和知识产权纠纷快速处理机制，推动《电子商务平台知识产权保护管理》推荐性国家标准执行，引导平台进行知识产权保护全流程管理。</w:t>
            </w:r>
          </w:p>
        </w:tc>
        <w:tc>
          <w:tcPr>
            <w:tcW w:w="2107" w:type="dxa"/>
            <w:noWrap w:val="0"/>
            <w:vAlign w:val="center"/>
          </w:tcPr>
          <w:p>
            <w:pPr>
              <w:widowControl/>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省内大型电子商务平台</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19.新领域、新业态、新模式知识产权保护试点工作</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创新人工智能、生物技术、数据经济等新领域、新业态、新模式知识产权保护机制，探索开展新领域、新业态、新模式知识产权保护工作。</w:t>
            </w:r>
          </w:p>
        </w:tc>
        <w:tc>
          <w:tcPr>
            <w:tcW w:w="2107" w:type="dxa"/>
            <w:noWrap w:val="0"/>
            <w:vAlign w:val="center"/>
          </w:tcPr>
          <w:p>
            <w:pPr>
              <w:widowControl/>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各市局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20.知识产权海外纠纷应对指导</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支持各知识产权海外应对指导分中心建设，提升海外知识产权纠纷应对能力。</w:t>
            </w:r>
          </w:p>
        </w:tc>
        <w:tc>
          <w:tcPr>
            <w:tcW w:w="2107" w:type="dxa"/>
            <w:noWrap w:val="0"/>
            <w:vAlign w:val="center"/>
          </w:tcPr>
          <w:p>
            <w:pPr>
              <w:widowControl/>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各知识产权保护中心</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kern w:val="0"/>
                <w:sz w:val="21"/>
                <w:szCs w:val="21"/>
              </w:rPr>
            </w:pP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支持申报建设国家海外知识产权海外应对指导地方分中心，对照分中心建设标准，先行开展相关工作。</w:t>
            </w:r>
          </w:p>
        </w:tc>
        <w:tc>
          <w:tcPr>
            <w:tcW w:w="2107" w:type="dxa"/>
            <w:noWrap w:val="0"/>
            <w:vAlign w:val="center"/>
          </w:tcPr>
          <w:p>
            <w:pPr>
              <w:widowControl/>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各市局（不超过2家）</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21.企业知识产权海外保护能力提升</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支持广东省中小企业开展海外知识产权储备布局策略及其风险预警、海外维权工作。</w:t>
            </w:r>
          </w:p>
        </w:tc>
        <w:tc>
          <w:tcPr>
            <w:tcW w:w="2107" w:type="dxa"/>
            <w:noWrap w:val="0"/>
            <w:vAlign w:val="center"/>
          </w:tcPr>
          <w:p>
            <w:pPr>
              <w:widowControl/>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各市局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spacing w:line="300" w:lineRule="exact"/>
              <w:jc w:val="center"/>
              <w:textAlignment w:val="center"/>
              <w:rPr>
                <w:rFonts w:hint="eastAsia" w:ascii="宋体" w:hAnsi="宋体" w:eastAsia="宋体" w:cs="宋体"/>
                <w:color w:val="auto"/>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22.境外电商平台知识产权纠纷指导</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提供境外电商平台知识产权纠纷应对指导服务。</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可独立承担法律责任的省级知识产权行业协会</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spacing w:line="300" w:lineRule="exact"/>
              <w:jc w:val="center"/>
              <w:textAlignment w:val="center"/>
              <w:rPr>
                <w:rFonts w:hint="eastAsia" w:ascii="宋体" w:hAnsi="宋体" w:eastAsia="宋体" w:cs="宋体"/>
                <w:color w:val="auto"/>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23.应对知识产权贸易壁垒指导服务</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研究知识产权贸易壁垒及应对策略，为企业提供指导服务。</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可独立承担法律责任的省级协会</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spacing w:line="300" w:lineRule="exact"/>
              <w:jc w:val="center"/>
              <w:textAlignment w:val="center"/>
              <w:rPr>
                <w:rFonts w:hint="eastAsia" w:ascii="宋体" w:hAnsi="宋体" w:eastAsia="宋体" w:cs="宋体"/>
                <w:color w:val="auto"/>
                <w:sz w:val="21"/>
                <w:szCs w:val="21"/>
              </w:rPr>
            </w:pPr>
          </w:p>
        </w:tc>
        <w:tc>
          <w:tcPr>
            <w:tcW w:w="2085" w:type="dxa"/>
            <w:noWrap w:val="0"/>
            <w:vAlign w:val="center"/>
          </w:tcPr>
          <w:p>
            <w:pPr>
              <w:widowControl/>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24.知识产权海外维权援助服务网点建设</w:t>
            </w:r>
          </w:p>
        </w:tc>
        <w:tc>
          <w:tcPr>
            <w:tcW w:w="4215" w:type="dxa"/>
            <w:noWrap w:val="0"/>
            <w:vAlign w:val="center"/>
          </w:tcPr>
          <w:p>
            <w:pPr>
              <w:widowControl/>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建设知识产权海外维权援助服务网点，为企业海外维权提供咨询和指导等服务。</w:t>
            </w:r>
          </w:p>
        </w:tc>
        <w:tc>
          <w:tcPr>
            <w:tcW w:w="2107" w:type="dxa"/>
            <w:noWrap w:val="0"/>
            <w:vAlign w:val="center"/>
          </w:tcPr>
          <w:p>
            <w:pPr>
              <w:widowControl/>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国家级知识产权保护机构</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spacing w:line="300" w:lineRule="exact"/>
              <w:jc w:val="center"/>
              <w:textAlignment w:val="center"/>
              <w:rPr>
                <w:rFonts w:hint="eastAsia" w:ascii="宋体" w:hAnsi="宋体" w:eastAsia="宋体" w:cs="宋体"/>
                <w:color w:val="auto"/>
                <w:sz w:val="21"/>
                <w:szCs w:val="21"/>
              </w:rPr>
            </w:pPr>
          </w:p>
        </w:tc>
        <w:tc>
          <w:tcPr>
            <w:tcW w:w="2085" w:type="dxa"/>
            <w:noWrap w:val="0"/>
            <w:vAlign w:val="center"/>
          </w:tcPr>
          <w:p>
            <w:pPr>
              <w:widowControl/>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25.海外知识产权侵权责任险推广</w:t>
            </w:r>
          </w:p>
        </w:tc>
        <w:tc>
          <w:tcPr>
            <w:tcW w:w="4215" w:type="dxa"/>
            <w:noWrap w:val="0"/>
            <w:vAlign w:val="center"/>
          </w:tcPr>
          <w:p>
            <w:pPr>
              <w:widowControl/>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支持各地市推广海外知识产权侵权责任险。</w:t>
            </w:r>
          </w:p>
        </w:tc>
        <w:tc>
          <w:tcPr>
            <w:tcW w:w="2107" w:type="dxa"/>
            <w:noWrap w:val="0"/>
            <w:vAlign w:val="center"/>
          </w:tcPr>
          <w:p>
            <w:pPr>
              <w:widowControl/>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各市局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spacing w:line="300" w:lineRule="exact"/>
              <w:jc w:val="center"/>
              <w:textAlignment w:val="center"/>
              <w:rPr>
                <w:rFonts w:hint="eastAsia" w:ascii="宋体" w:hAnsi="宋体" w:eastAsia="宋体" w:cs="宋体"/>
                <w:color w:val="auto"/>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26.地理标志产品培育和专用标志使用</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挖掘地理标志资源，培育地理标志产品；大力支持地理标志专用标志使用，扩大地理标志专用标志使用覆盖面。</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各市局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spacing w:line="300" w:lineRule="exact"/>
              <w:jc w:val="center"/>
              <w:textAlignment w:val="center"/>
              <w:rPr>
                <w:rFonts w:hint="eastAsia" w:ascii="宋体" w:hAnsi="宋体" w:eastAsia="宋体" w:cs="宋体"/>
                <w:color w:val="auto"/>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27.创建和提升地理标志产品保护示范区</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支持创建国家级地理标志产品保护示范区，提升已批国家地理标志产品保护示范区建设水平，全面加强地理标志保护，服务区域经济社会高质量发展。</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各市局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spacing w:line="300" w:lineRule="exact"/>
              <w:jc w:val="center"/>
              <w:textAlignment w:val="center"/>
              <w:rPr>
                <w:rFonts w:hint="eastAsia" w:ascii="宋体" w:hAnsi="宋体" w:eastAsia="宋体" w:cs="宋体"/>
                <w:color w:val="auto"/>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28.地理标志助推乡村振兴</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牵头建设地理标志行业协会，建设地理标志产品资源库，开展地理标志人才培养。</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可独立承担法律责任的省级事业单位</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spacing w:line="300" w:lineRule="exact"/>
              <w:jc w:val="center"/>
              <w:textAlignment w:val="center"/>
              <w:rPr>
                <w:rFonts w:hint="eastAsia" w:ascii="宋体" w:hAnsi="宋体" w:eastAsia="宋体" w:cs="宋体"/>
                <w:color w:val="auto"/>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29.知识产权保护项目管理服务与绩效提升</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协助管理知识产权保护类项目，切实提升知识产权保护类项目实施绩效与社会效益。</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可独立承担法律责任的省级知识产权行业协会</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spacing w:line="300" w:lineRule="exact"/>
              <w:jc w:val="center"/>
              <w:textAlignment w:val="center"/>
              <w:rPr>
                <w:rFonts w:hint="eastAsia" w:ascii="宋体" w:hAnsi="宋体" w:eastAsia="宋体" w:cs="宋体"/>
                <w:color w:val="auto"/>
                <w:sz w:val="21"/>
                <w:szCs w:val="21"/>
              </w:rPr>
            </w:pPr>
          </w:p>
        </w:tc>
        <w:tc>
          <w:tcPr>
            <w:tcW w:w="2085"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30.（可加行）</w:t>
            </w:r>
          </w:p>
          <w:p>
            <w:pPr>
              <w:widowControl/>
              <w:spacing w:line="300" w:lineRule="exact"/>
              <w:textAlignment w:val="center"/>
              <w:rPr>
                <w:rFonts w:hint="eastAsia" w:ascii="宋体" w:hAnsi="宋体" w:eastAsia="宋体" w:cs="宋体"/>
                <w:color w:val="auto"/>
                <w:sz w:val="21"/>
                <w:szCs w:val="21"/>
              </w:rPr>
            </w:pPr>
          </w:p>
        </w:tc>
        <w:tc>
          <w:tcPr>
            <w:tcW w:w="4215"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2107"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481" w:type="dxa"/>
            <w:vMerge w:val="restart"/>
            <w:noWrap w:val="0"/>
            <w:vAlign w:val="center"/>
          </w:tcPr>
          <w:p>
            <w:pPr>
              <w:widowControl/>
              <w:spacing w:line="300" w:lineRule="exact"/>
              <w:jc w:val="center"/>
              <w:textAlignment w:val="center"/>
              <w:rPr>
                <w:rFonts w:hint="eastAsia" w:ascii="宋体" w:hAnsi="宋体" w:eastAsia="宋体" w:cs="宋体"/>
                <w:sz w:val="21"/>
                <w:szCs w:val="21"/>
              </w:rPr>
            </w:pPr>
            <w:r>
              <w:rPr>
                <w:rFonts w:hint="eastAsia" w:ascii="黑体" w:hAnsi="黑体" w:eastAsia="黑体" w:cs="黑体"/>
                <w:sz w:val="21"/>
                <w:szCs w:val="21"/>
              </w:rPr>
              <w:t>四、知识产权运用</w:t>
            </w:r>
          </w:p>
        </w:tc>
        <w:tc>
          <w:tcPr>
            <w:tcW w:w="1514" w:type="dxa"/>
            <w:vMerge w:val="restart"/>
            <w:noWrap w:val="0"/>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战略性产业集群知识产权协同运营服务体系建设</w:t>
            </w: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1.广东省战略性产业集群知识产权协同运营中心建设</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1.围绕广东省战略性产业集群高质量发展需求，采取“一产一策”，支持建设一批产业知识产权运营中心。</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2.该类运营中心主要功能和任务，包括开展高价值专利培育布局、专利运营转化、知识产权维权援助和知识产权公共服务四个方面内容。</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sz w:val="21"/>
                <w:szCs w:val="21"/>
              </w:rPr>
              <w:t>3.此类中心可由</w:t>
            </w:r>
            <w:r>
              <w:rPr>
                <w:rFonts w:hint="eastAsia" w:ascii="宋体" w:hAnsi="宋体" w:eastAsia="宋体" w:cs="宋体"/>
                <w:color w:val="auto"/>
                <w:kern w:val="0"/>
                <w:sz w:val="21"/>
                <w:szCs w:val="21"/>
                <w:lang w:bidi="ar"/>
              </w:rPr>
              <w:t>满足条件的知识产权服务机构会同行业协会、高校院所、行业重点龙头企业、产业基金等共同发起设立</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满足条件的知识产权服务机构牵头，会同行业协会、高校院所、行业重点龙头企业、产业基金等共同发起申报</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2.广东省高新区重点产业知识产权综合运营服务中心</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支持各市局在辖区内国家级高新区和重点省级高新区，围绕该区重点产业布局，建设知识产权综合运营服务中心，协同开展高价值知识产权培育、知识产权运营、知识产权维权援助和知识产权信息公共服务等相关工作。</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lang w:bidi="ar"/>
              </w:rPr>
              <w:t>各市局及其辖区内高新区</w:t>
            </w: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（可加行）</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lang w:bidi="ar"/>
              </w:rPr>
            </w:pP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lang w:bidi="ar"/>
              </w:rPr>
            </w:pP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restart"/>
            <w:noWrap w:val="0"/>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知识产权转化实施专项</w:t>
            </w: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1.中小微企业专利转化需求对接工程</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sz w:val="21"/>
                <w:szCs w:val="21"/>
                <w:lang w:bidi="ar"/>
              </w:rPr>
              <w:t>建设“高校院所+产业”专利供需专项平台，分区域、分产业实施战略性产业集群中小微企业转化对接工程、北部生态发展区中小微企业涉农专利转化对接工程、涉外中小微企业专利转化对接工程、园区专利转化对接工程。根据中小微企业获得专利转移转化情况，适当给予支持和补助。</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各市局</w:t>
            </w: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2.专利转化运用高质量供给工程</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深入挖掘高校高质量专利资源，探索建立“高校院所+产业”专利供需平台，鼓励省内高校建立集技术转移与知识产权运营为一体的专门机构，支持省内外高校与省内企业共同开展研究开发、成果应用与推广。鼓励国有企业分享专利技术，建立专利权有偿使用、对外知识产权许可、转让和分级管理，促进专利在产业链中小微企业转化实施。</w:t>
            </w:r>
            <w:r>
              <w:rPr>
                <w:rFonts w:hint="eastAsia" w:ascii="宋体" w:hAnsi="宋体" w:eastAsia="宋体" w:cs="宋体"/>
                <w:color w:val="auto"/>
                <w:sz w:val="21"/>
                <w:szCs w:val="21"/>
                <w:lang w:bidi="ar"/>
              </w:rPr>
              <w:t>根据中小微企业获得专利转移转化情况，适当给予支持和补助。</w:t>
            </w:r>
          </w:p>
        </w:tc>
        <w:tc>
          <w:tcPr>
            <w:tcW w:w="2107" w:type="dxa"/>
            <w:noWrap w:val="0"/>
            <w:vAlign w:val="center"/>
          </w:tcPr>
          <w:p>
            <w:pPr>
              <w:widowControl/>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各市局</w:t>
            </w: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3专利转化运用服务体系建设工程</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鼓励专业服务机构向中小微企业提供利微导航、专利服务外包、专利托管经营、专利技术转移中介专利转化特色服务。鼓励现有“国家知识产权试点示范高校”“高校知识产权运营中心”“产业知识产权运营中心”等平台和试点积极承担中小微企业专利转化对接工作，依托横琴国际知识产权交易中心、广州知识产权交易中心、中国（南方）知识产权运营中心等平台，集中发布专利技术供给信息，支持中小微企业开展专利进场交易。</w:t>
            </w:r>
            <w:r>
              <w:rPr>
                <w:rFonts w:hint="eastAsia" w:ascii="宋体" w:hAnsi="宋体" w:eastAsia="宋体" w:cs="宋体"/>
                <w:color w:val="auto"/>
                <w:sz w:val="21"/>
                <w:szCs w:val="21"/>
                <w:lang w:bidi="ar"/>
              </w:rPr>
              <w:t>根据中小微企业获得专利转移转化情况，适当给予支持和补助。</w:t>
            </w:r>
          </w:p>
        </w:tc>
        <w:tc>
          <w:tcPr>
            <w:tcW w:w="2107" w:type="dxa"/>
            <w:noWrap w:val="0"/>
            <w:vAlign w:val="center"/>
          </w:tcPr>
          <w:p>
            <w:pPr>
              <w:widowControl/>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各市局</w:t>
            </w: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4.知识产权军民融合项目</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开展知识产权军民融合工作。</w:t>
            </w:r>
          </w:p>
        </w:tc>
        <w:tc>
          <w:tcPr>
            <w:tcW w:w="2107" w:type="dxa"/>
            <w:noWrap w:val="0"/>
            <w:vAlign w:val="center"/>
          </w:tcPr>
          <w:p>
            <w:pPr>
              <w:widowControl/>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各市局</w:t>
            </w: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（可加行）</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p>
        </w:tc>
        <w:tc>
          <w:tcPr>
            <w:tcW w:w="2107" w:type="dxa"/>
            <w:noWrap w:val="0"/>
            <w:vAlign w:val="center"/>
          </w:tcPr>
          <w:p>
            <w:pPr>
              <w:widowControl/>
              <w:textAlignment w:val="center"/>
              <w:rPr>
                <w:rFonts w:hint="eastAsia" w:ascii="宋体" w:hAnsi="宋体" w:eastAsia="宋体" w:cs="宋体"/>
                <w:color w:val="auto"/>
                <w:kern w:val="0"/>
                <w:sz w:val="21"/>
                <w:szCs w:val="21"/>
                <w:lang w:bidi="ar"/>
              </w:rPr>
            </w:pP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restart"/>
            <w:noWrap w:val="0"/>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知识产权金融创新和运营实施项目</w:t>
            </w: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1.知识产权金融创新促进计划项目</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积极运用知识产权质押融资风险补偿基金，将商标权质押纳入风险补偿基金保障范围。开展知识产权质押融资评估、保险等费用补贴及奖励等工作。组织开展知识产权金融对接及培训活动。有条件地市开展知识产权金融产品创新。</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2.积极推广知识产权保险，联合保险机构推广知识产权保险，完善原有知识产权保险产品，适时推出知识产权保险新品种。</w:t>
            </w:r>
          </w:p>
        </w:tc>
        <w:tc>
          <w:tcPr>
            <w:tcW w:w="2107" w:type="dxa"/>
            <w:noWrap w:val="0"/>
            <w:vAlign w:val="center"/>
          </w:tcPr>
          <w:p>
            <w:pPr>
              <w:widowControl/>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各市局</w:t>
            </w: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2.知识产权质押融资对接金融机构工程</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对现有省知识产权质押融资管理平台进行升级改造，开发知识产权价值评价、各地知识产权金融政策汇总、银行在线查询及审批、银行在线申请质押融资风险补偿、知识产权质物处置、知识产权保险咨询、知识产权质押融资登记服务、地市知识产权质押融资统计等综合服务模块；对接国家知识产权局区域专利信息平台，分产业适时推送企业专利分级分类信息；对接国家知识产权局知识产权质押融资登记数据和省内银行业金融机构各类知识产权信贷统计数据，按季度形成统计分析报告。</w:t>
            </w:r>
          </w:p>
        </w:tc>
        <w:tc>
          <w:tcPr>
            <w:tcW w:w="2107" w:type="dxa"/>
            <w:noWrap w:val="0"/>
            <w:vAlign w:val="center"/>
          </w:tcPr>
          <w:p>
            <w:pPr>
              <w:widowControl/>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符合条件的机构和单位</w:t>
            </w: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3.知识产权证券化推广项目</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开展知识产权证券化实践和研究工作，有条件的地市联合金融机构开展知识产权证券化产品研究，适时推出专业知识产权证券化产品。开展知识产权证券化推广活动。</w:t>
            </w:r>
          </w:p>
        </w:tc>
        <w:tc>
          <w:tcPr>
            <w:tcW w:w="2107" w:type="dxa"/>
            <w:noWrap w:val="0"/>
            <w:vAlign w:val="center"/>
          </w:tcPr>
          <w:p>
            <w:pPr>
              <w:widowControl/>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各市局</w:t>
            </w: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4.知识产权交易博览会</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举办2022年粤港澳大湾区知识产权交易博览会暨国际地理标志产品贸易博览会。</w:t>
            </w:r>
          </w:p>
        </w:tc>
        <w:tc>
          <w:tcPr>
            <w:tcW w:w="2107" w:type="dxa"/>
            <w:noWrap w:val="0"/>
            <w:vAlign w:val="center"/>
          </w:tcPr>
          <w:p>
            <w:pPr>
              <w:widowControl/>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省知识产权保护中心</w:t>
            </w: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（可加行）</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p>
        </w:tc>
        <w:tc>
          <w:tcPr>
            <w:tcW w:w="2107" w:type="dxa"/>
            <w:noWrap w:val="0"/>
            <w:vAlign w:val="center"/>
          </w:tcPr>
          <w:p>
            <w:pPr>
              <w:widowControl/>
              <w:textAlignment w:val="center"/>
              <w:rPr>
                <w:rFonts w:hint="eastAsia" w:ascii="宋体" w:hAnsi="宋体" w:eastAsia="宋体" w:cs="宋体"/>
                <w:color w:val="auto"/>
                <w:kern w:val="0"/>
                <w:sz w:val="21"/>
                <w:szCs w:val="21"/>
                <w:lang w:bidi="ar"/>
              </w:rPr>
            </w:pP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restart"/>
            <w:noWrap w:val="0"/>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商标品牌战略实施项目</w:t>
            </w: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 粤港澳大湾区商标品牌培育大赛</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举办首届粤港澳大湾区商标品牌培育大赛。</w:t>
            </w:r>
          </w:p>
        </w:tc>
        <w:tc>
          <w:tcPr>
            <w:tcW w:w="2107" w:type="dxa"/>
            <w:noWrap w:val="0"/>
            <w:vAlign w:val="center"/>
          </w:tcPr>
          <w:p>
            <w:pPr>
              <w:widowControl/>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有意向的市局</w:t>
            </w: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2.商标品牌培育指导站建设</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依托大型园区、产业聚集区、行业协会等建立商标培育指导站，通过行政指导、普法宣传等各种方式，为辖区企业提供商标注册辅导、商标规范使用提示、商标维权援助、自主品牌培育、商标运用指引等服务。</w:t>
            </w:r>
          </w:p>
        </w:tc>
        <w:tc>
          <w:tcPr>
            <w:tcW w:w="2107" w:type="dxa"/>
            <w:noWrap w:val="0"/>
            <w:vAlign w:val="center"/>
          </w:tcPr>
          <w:p>
            <w:pPr>
              <w:widowControl/>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各市局</w:t>
            </w: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3.地理标志商标注册申请促进项目</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支持各地市地理标志产品注册商标，提高地理标志产品商标开发和运用水平。</w:t>
            </w:r>
          </w:p>
        </w:tc>
        <w:tc>
          <w:tcPr>
            <w:tcW w:w="2107" w:type="dxa"/>
            <w:noWrap w:val="0"/>
            <w:vAlign w:val="center"/>
          </w:tcPr>
          <w:p>
            <w:pPr>
              <w:widowControl/>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各市局</w:t>
            </w: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4.省内商标品牌企业参展支持项目</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积极组织省内企业参加中国国际商标品牌节、中国商标年会、中华品牌商标博览会、知识产权交易博览会、中国品牌日等展会和活动，宣传推广我省商标品牌。</w:t>
            </w:r>
          </w:p>
        </w:tc>
        <w:tc>
          <w:tcPr>
            <w:tcW w:w="2107" w:type="dxa"/>
            <w:noWrap w:val="0"/>
            <w:vAlign w:val="center"/>
          </w:tcPr>
          <w:p>
            <w:pPr>
              <w:widowControl/>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行业协会</w:t>
            </w: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（可加行）</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p>
        </w:tc>
        <w:tc>
          <w:tcPr>
            <w:tcW w:w="2107" w:type="dxa"/>
            <w:noWrap w:val="0"/>
            <w:vAlign w:val="center"/>
          </w:tcPr>
          <w:p>
            <w:pPr>
              <w:widowControl/>
              <w:textAlignment w:val="center"/>
              <w:rPr>
                <w:rFonts w:hint="eastAsia" w:ascii="宋体" w:hAnsi="宋体" w:eastAsia="宋体" w:cs="宋体"/>
                <w:color w:val="auto"/>
                <w:kern w:val="0"/>
                <w:sz w:val="21"/>
                <w:szCs w:val="21"/>
                <w:lang w:bidi="ar"/>
              </w:rPr>
            </w:pP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restart"/>
            <w:noWrap w:val="0"/>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地理标志产品运用促进工程</w:t>
            </w: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1.地理标志产品流通和展示推广项目</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进一步强化地理标志品牌运用推广，宣传展示地理标志运用促进成效，突出地理标志的社会效益、经济效益和生态效益。</w:t>
            </w:r>
          </w:p>
        </w:tc>
        <w:tc>
          <w:tcPr>
            <w:tcW w:w="2107" w:type="dxa"/>
            <w:noWrap w:val="0"/>
            <w:vAlign w:val="center"/>
          </w:tcPr>
          <w:p>
            <w:pPr>
              <w:widowControl/>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各市局</w:t>
            </w: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widowControl/>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2.地理标志专业服务提升计划</w:t>
            </w:r>
          </w:p>
        </w:tc>
        <w:tc>
          <w:tcPr>
            <w:tcW w:w="4215" w:type="dxa"/>
            <w:noWrap w:val="0"/>
            <w:vAlign w:val="center"/>
          </w:tcPr>
          <w:p>
            <w:pPr>
              <w:widowControl/>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鼓励专利代理、商标代理等各类知识产权服务机构，拓展地理标志服务业务。</w:t>
            </w:r>
          </w:p>
        </w:tc>
        <w:tc>
          <w:tcPr>
            <w:tcW w:w="2107" w:type="dxa"/>
            <w:noWrap w:val="0"/>
            <w:vAlign w:val="center"/>
          </w:tcPr>
          <w:p>
            <w:pPr>
              <w:widowControl/>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各市局</w:t>
            </w: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3.地理标志运用促进能力提升项目</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推广地理标志助力精准扶贫经验模式，推动产业发展规模不断扩大，助力精准扶贫。</w:t>
            </w:r>
          </w:p>
        </w:tc>
        <w:tc>
          <w:tcPr>
            <w:tcW w:w="2107" w:type="dxa"/>
            <w:noWrap w:val="0"/>
            <w:vAlign w:val="center"/>
          </w:tcPr>
          <w:p>
            <w:pPr>
              <w:widowControl/>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各市局</w:t>
            </w: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4.地理标志产品运用促进项目</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建设完善广东省地理标志产品运营平台，加强对地理标志保护产品的数据运用、产品和工作成果的展示。引进专业的地理标志运营推广团队，为区域地理标志产品运用促进工作提供指引。</w:t>
            </w:r>
          </w:p>
        </w:tc>
        <w:tc>
          <w:tcPr>
            <w:tcW w:w="2107" w:type="dxa"/>
            <w:noWrap w:val="0"/>
            <w:vAlign w:val="center"/>
          </w:tcPr>
          <w:p>
            <w:pPr>
              <w:widowControl/>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可独立承担法律责任的省级知识产权行业组织、社会团体</w:t>
            </w: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spacing w:line="300" w:lineRule="exact"/>
              <w:jc w:val="center"/>
              <w:textAlignment w:val="center"/>
              <w:rPr>
                <w:rFonts w:hint="eastAsia" w:ascii="宋体" w:hAnsi="宋体" w:eastAsia="宋体" w:cs="宋体"/>
                <w:color w:val="auto"/>
                <w:sz w:val="21"/>
                <w:szCs w:val="21"/>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（可加行）</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rPr>
            </w:pPr>
          </w:p>
        </w:tc>
        <w:tc>
          <w:tcPr>
            <w:tcW w:w="2107" w:type="dxa"/>
            <w:noWrap w:val="0"/>
            <w:vAlign w:val="center"/>
          </w:tcPr>
          <w:p>
            <w:pPr>
              <w:widowControl/>
              <w:spacing w:line="300" w:lineRule="exact"/>
              <w:textAlignment w:val="center"/>
              <w:rPr>
                <w:rFonts w:hint="eastAsia" w:ascii="宋体" w:hAnsi="宋体" w:eastAsia="宋体" w:cs="宋体"/>
                <w:color w:val="auto"/>
                <w:kern w:val="0"/>
                <w:sz w:val="21"/>
                <w:szCs w:val="21"/>
              </w:rPr>
            </w:pPr>
          </w:p>
        </w:tc>
        <w:tc>
          <w:tcPr>
            <w:tcW w:w="828"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649"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481" w:type="dxa"/>
            <w:vMerge w:val="restart"/>
            <w:noWrap w:val="0"/>
            <w:vAlign w:val="center"/>
          </w:tcPr>
          <w:p>
            <w:pPr>
              <w:widowControl/>
              <w:spacing w:line="300" w:lineRule="exact"/>
              <w:jc w:val="center"/>
              <w:textAlignment w:val="center"/>
              <w:rPr>
                <w:rFonts w:hint="eastAsia" w:ascii="宋体" w:hAnsi="宋体" w:eastAsia="宋体" w:cs="宋体"/>
                <w:sz w:val="21"/>
                <w:szCs w:val="21"/>
              </w:rPr>
            </w:pPr>
            <w:r>
              <w:rPr>
                <w:rFonts w:hint="eastAsia" w:ascii="黑体" w:hAnsi="黑体" w:eastAsia="黑体" w:cs="黑体"/>
                <w:sz w:val="21"/>
                <w:szCs w:val="21"/>
              </w:rPr>
              <w:t>五、知识产权公共服务和代理行业监管</w:t>
            </w:r>
          </w:p>
        </w:tc>
        <w:tc>
          <w:tcPr>
            <w:tcW w:w="1514" w:type="dxa"/>
            <w:vMerge w:val="restart"/>
            <w:noWrap w:val="0"/>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知识产权公共服务体系建设</w:t>
            </w: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1.地市知识产权业务受理窗口建设</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推进地方知识产权综合业务受理窗口和商标业务受理窗口建设，提升知识产权业务受理窗口管理能力和服务水平。</w:t>
            </w:r>
          </w:p>
        </w:tc>
        <w:tc>
          <w:tcPr>
            <w:tcW w:w="2107" w:type="dxa"/>
            <w:noWrap w:val="0"/>
            <w:vAlign w:val="center"/>
          </w:tcPr>
          <w:p>
            <w:pPr>
              <w:widowControl/>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各市局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2.知识产权信息公共服务节点建设与服务规范</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结合广东知识产权信息公共服务需求，开展知识产权信息公共服务节点建设和服务规范研究制定工作，发布相关标准。</w:t>
            </w:r>
          </w:p>
        </w:tc>
        <w:tc>
          <w:tcPr>
            <w:tcW w:w="2107" w:type="dxa"/>
            <w:noWrap w:val="0"/>
            <w:vAlign w:val="center"/>
          </w:tcPr>
          <w:p>
            <w:pPr>
              <w:widowControl/>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符合申报条件的机构</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3.知识产权信息公共服务网点建设指引</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结合广东知识产权信息公共服务需求，开展知识产权信息公共服务网点建设指引的研究制定工作，发布相关指引。</w:t>
            </w:r>
          </w:p>
        </w:tc>
        <w:tc>
          <w:tcPr>
            <w:tcW w:w="2107" w:type="dxa"/>
            <w:noWrap w:val="0"/>
            <w:vAlign w:val="center"/>
          </w:tcPr>
          <w:p>
            <w:pPr>
              <w:widowControl/>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符合申报条件的机构</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4.地市知识产权信息公共服务节点建设</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推进地市知识产权信息公共服务节点建设，完善全省知识产权信息公共服务体系主干网络。</w:t>
            </w:r>
          </w:p>
        </w:tc>
        <w:tc>
          <w:tcPr>
            <w:tcW w:w="2107" w:type="dxa"/>
            <w:noWrap w:val="0"/>
            <w:vAlign w:val="center"/>
          </w:tcPr>
          <w:p>
            <w:pPr>
              <w:widowControl/>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各市局</w:t>
            </w: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5.国家级知识产权信息公共服务备案网点建设</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对备案的国家知识产权信息公共服务网点进行后补助</w:t>
            </w:r>
          </w:p>
        </w:tc>
        <w:tc>
          <w:tcPr>
            <w:tcW w:w="2107" w:type="dxa"/>
            <w:noWrap w:val="0"/>
            <w:vAlign w:val="center"/>
          </w:tcPr>
          <w:p>
            <w:pPr>
              <w:widowControl/>
              <w:textAlignment w:val="center"/>
              <w:rPr>
                <w:rFonts w:hint="eastAsia" w:ascii="宋体" w:hAnsi="宋体" w:eastAsia="宋体" w:cs="宋体"/>
                <w:color w:val="auto"/>
                <w:kern w:val="0"/>
                <w:sz w:val="21"/>
                <w:szCs w:val="21"/>
                <w:lang w:bidi="ar"/>
              </w:rPr>
            </w:pP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（可加行）</w:t>
            </w:r>
          </w:p>
        </w:tc>
        <w:tc>
          <w:tcPr>
            <w:tcW w:w="4215" w:type="dxa"/>
            <w:noWrap w:val="0"/>
            <w:vAlign w:val="center"/>
          </w:tcPr>
          <w:p>
            <w:pPr>
              <w:widowControl/>
              <w:textAlignment w:val="center"/>
              <w:rPr>
                <w:rFonts w:hint="eastAsia" w:ascii="宋体" w:hAnsi="宋体" w:eastAsia="宋体" w:cs="宋体"/>
                <w:color w:val="auto"/>
                <w:kern w:val="0"/>
                <w:sz w:val="21"/>
                <w:szCs w:val="21"/>
                <w:lang w:bidi="ar"/>
              </w:rPr>
            </w:pPr>
          </w:p>
        </w:tc>
        <w:tc>
          <w:tcPr>
            <w:tcW w:w="2107" w:type="dxa"/>
            <w:noWrap w:val="0"/>
            <w:vAlign w:val="center"/>
          </w:tcPr>
          <w:p>
            <w:pPr>
              <w:widowControl/>
              <w:textAlignment w:val="center"/>
              <w:rPr>
                <w:rFonts w:hint="eastAsia" w:ascii="宋体" w:hAnsi="宋体" w:eastAsia="宋体" w:cs="宋体"/>
                <w:color w:val="auto"/>
                <w:kern w:val="0"/>
                <w:sz w:val="21"/>
                <w:szCs w:val="21"/>
                <w:lang w:bidi="ar"/>
              </w:rPr>
            </w:pP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restart"/>
            <w:noWrap w:val="0"/>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知识产权代理监管</w:t>
            </w: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1.专利代理质量提升项目（内容有所调整）</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开展省内专利代理人才培训，培养初级、中高级专利代理人才，提升专利代理质量。</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行业协会、企事业单位</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2.专利代理师资格考试考务及培训工作</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组织开展专利代理师考试培训，完成全国专利代理考试考务工作。</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行业协会、企事业单位</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3.专利代理援助和行业监管服务项目</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开展专利代理援助服务，针对专利代理行业进行监管，提升专利代理行业整体服务水平。</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行业协会</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4.商标代理质量提升及行业监管服务项目</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针对商标代理行业进行监管，提升商标代理质量，提高行业整体服务水平。</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行业协会</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（可加行）</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p>
        </w:tc>
        <w:tc>
          <w:tcPr>
            <w:tcW w:w="828"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restart"/>
            <w:noWrap w:val="0"/>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“知识产权高层次人才培养”工程</w:t>
            </w: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1.粤港澳大湾区知识产权人才发展大会暨知识产权人才供需对接系列活动</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支持地市举办粤港澳大湾区人才发展大会。</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有条件的地市局、县区局</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rPr>
              <w:t>2.广东省海外知识产权保护专业人才培育项目</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rPr>
              <w:t>组织海内外优质师资资源重点针对我省外向型企业等主体有针对性制定工作计划，开展海外知识产权保护专业能力建设，进行社会化学习评测和水平认定等，储备海外知识产权保护人才。</w:t>
            </w:r>
          </w:p>
        </w:tc>
        <w:tc>
          <w:tcPr>
            <w:tcW w:w="2107" w:type="dxa"/>
            <w:noWrap w:val="0"/>
            <w:vAlign w:val="center"/>
          </w:tcPr>
          <w:p>
            <w:pPr>
              <w:keepNext w:val="0"/>
              <w:keepLines w:val="0"/>
              <w:pageBreakBefore w:val="0"/>
              <w:widowControl/>
              <w:numPr>
                <w:ilvl w:val="0"/>
                <w:numId w:val="3"/>
              </w:numPr>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各地市；</w:t>
            </w:r>
          </w:p>
          <w:p>
            <w:pPr>
              <w:keepNext w:val="0"/>
              <w:keepLines w:val="0"/>
              <w:pageBreakBefore w:val="0"/>
              <w:widowControl/>
              <w:numPr>
                <w:ilvl w:val="0"/>
                <w:numId w:val="3"/>
              </w:numPr>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rPr>
              <w:t>熟悉广东省企业海外知识产权状况的法人组织</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3.广东省知识产权代理人才培育项目</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支持培养知识产权代理实务人才，为广东省知识产权代理行业提供优秀的人力资源。</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1.各地市；</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2.符合申报条件的机构</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4.广东省知识产权运营人才培育项目</w:t>
            </w:r>
          </w:p>
        </w:tc>
        <w:tc>
          <w:tcPr>
            <w:tcW w:w="4215"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支持培养知识产权运营实务人才，为广东省知识产权运营市场提供优秀的人力资源。</w:t>
            </w:r>
          </w:p>
        </w:tc>
        <w:tc>
          <w:tcPr>
            <w:tcW w:w="2107" w:type="dxa"/>
            <w:tcBorders>
              <w:bottom w:val="single" w:color="auto" w:sz="4" w:space="0"/>
            </w:tcBorders>
            <w:noWrap w:val="0"/>
            <w:vAlign w:val="center"/>
          </w:tcPr>
          <w:p>
            <w:pPr>
              <w:keepNext w:val="0"/>
              <w:keepLines w:val="0"/>
              <w:pageBreakBefore w:val="0"/>
              <w:widowControl/>
              <w:numPr>
                <w:ilvl w:val="0"/>
                <w:numId w:val="4"/>
              </w:numPr>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各地市；</w:t>
            </w:r>
          </w:p>
          <w:p>
            <w:pPr>
              <w:keepNext w:val="0"/>
              <w:keepLines w:val="0"/>
              <w:pageBreakBefore w:val="0"/>
              <w:widowControl/>
              <w:numPr>
                <w:ilvl w:val="0"/>
                <w:numId w:val="4"/>
              </w:numPr>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符合申报条件的机构</w:t>
            </w:r>
          </w:p>
        </w:tc>
        <w:tc>
          <w:tcPr>
            <w:tcW w:w="828"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tcBorders>
              <w:bottom w:val="single" w:color="auto" w:sz="4" w:space="0"/>
            </w:tcBorders>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tcBorders>
              <w:top w:val="single" w:color="auto" w:sz="4" w:space="0"/>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5.广东省企业知识产权高管培训项目</w:t>
            </w:r>
          </w:p>
        </w:tc>
        <w:tc>
          <w:tcPr>
            <w:tcW w:w="4215"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支持培养企业知识产权实务人才，为广东省创新主体提供优秀的知识产权人力资源。</w:t>
            </w:r>
          </w:p>
        </w:tc>
        <w:tc>
          <w:tcPr>
            <w:tcW w:w="2107" w:type="dxa"/>
            <w:tcBorders>
              <w:top w:val="single" w:color="auto" w:sz="4" w:space="0"/>
            </w:tcBorders>
            <w:noWrap w:val="0"/>
            <w:vAlign w:val="center"/>
          </w:tcPr>
          <w:p>
            <w:pPr>
              <w:keepNext w:val="0"/>
              <w:keepLines w:val="0"/>
              <w:pageBreakBefore w:val="0"/>
              <w:widowControl/>
              <w:numPr>
                <w:ilvl w:val="0"/>
                <w:numId w:val="5"/>
              </w:numPr>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各地市；</w:t>
            </w:r>
          </w:p>
          <w:p>
            <w:pPr>
              <w:keepNext w:val="0"/>
              <w:keepLines w:val="0"/>
              <w:pageBreakBefore w:val="0"/>
              <w:widowControl/>
              <w:numPr>
                <w:ilvl w:val="0"/>
                <w:numId w:val="5"/>
              </w:numPr>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符合申报条件的机构</w:t>
            </w:r>
          </w:p>
        </w:tc>
        <w:tc>
          <w:tcPr>
            <w:tcW w:w="828"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tcBorders>
              <w:top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jc w:val="center"/>
              <w:textAlignment w:val="center"/>
              <w:rPr>
                <w:rFonts w:hint="eastAsia" w:ascii="宋体" w:hAnsi="宋体" w:eastAsia="宋体" w:cs="宋体"/>
                <w:color w:val="auto"/>
                <w:kern w:val="0"/>
                <w:sz w:val="21"/>
                <w:szCs w:val="21"/>
                <w:lang w:bidi="ar"/>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6.WIPO知识产权暑期班</w:t>
            </w:r>
          </w:p>
        </w:tc>
        <w:tc>
          <w:tcPr>
            <w:tcW w:w="4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支持省内院校承办WIPO暑期班，并对上一年度承接WIPO暑期班的高校进行后补助。</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成功承办WIPO暑期班的高校</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jc w:val="center"/>
              <w:textAlignment w:val="center"/>
              <w:rPr>
                <w:rFonts w:hint="eastAsia" w:ascii="宋体" w:hAnsi="宋体" w:eastAsia="宋体" w:cs="宋体"/>
                <w:color w:val="auto"/>
                <w:kern w:val="0"/>
                <w:sz w:val="21"/>
                <w:szCs w:val="21"/>
                <w:lang w:bidi="ar"/>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7.广东省企业知识产权主题沙龙活动项目</w:t>
            </w:r>
          </w:p>
        </w:tc>
        <w:tc>
          <w:tcPr>
            <w:tcW w:w="4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sz w:val="21"/>
                <w:szCs w:val="21"/>
              </w:rPr>
              <w:t>搭建行业知识产权信息交流与经验分享平台。</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rPr>
              <w:t>可独立承担法律责任的省级知识产权行业协会</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8.中小学知识产权教育推广普及</w:t>
            </w:r>
          </w:p>
        </w:tc>
        <w:tc>
          <w:tcPr>
            <w:tcW w:w="4215"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支持各市结合自身特色，开展本地区中小学知识产权教育工作，加强中小学知识产权教育工作在各市的推广和普及力度。</w:t>
            </w:r>
          </w:p>
        </w:tc>
        <w:tc>
          <w:tcPr>
            <w:tcW w:w="2107"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各市局</w:t>
            </w:r>
          </w:p>
        </w:tc>
        <w:tc>
          <w:tcPr>
            <w:tcW w:w="828"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tcBorders>
              <w:top w:val="single" w:color="auto" w:sz="4" w:space="0"/>
            </w:tcBorders>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9.中小学知识产权教育服务</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面向全省开展知识产权师资培养，搭建知识产权中小学教育交流平台，提供中小学知识产权教育服务工作。</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可独立承担法律责任的省级知识产权行业组织、社会团体</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10.省青少年科技创新大赛专利奖评选项目</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在省青少年科技创新大赛中设置专利奖项，普及知识产权意识。</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省青少年科技创新大赛主办方</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（可加行）</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kern w:val="0"/>
                <w:sz w:val="21"/>
                <w:szCs w:val="21"/>
                <w:lang w:bidi="ar"/>
              </w:rPr>
            </w:pPr>
          </w:p>
        </w:tc>
        <w:tc>
          <w:tcPr>
            <w:tcW w:w="828"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restart"/>
            <w:noWrap w:val="0"/>
            <w:vAlign w:val="center"/>
          </w:tcPr>
          <w:p>
            <w:pPr>
              <w:widowControl/>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其他</w:t>
            </w: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1.年度广东省知识产权十大事件评选服务</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开展年度广东省知识产权十大事件评选服务工作。</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可独立承担法律责任的省级知识产权行业组织、社会团体</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jc w:val="center"/>
              <w:textAlignment w:val="center"/>
              <w:rPr>
                <w:rFonts w:hint="eastAsia" w:ascii="宋体" w:hAnsi="宋体" w:eastAsia="宋体" w:cs="宋体"/>
                <w:color w:val="auto"/>
                <w:kern w:val="0"/>
                <w:sz w:val="21"/>
                <w:szCs w:val="21"/>
                <w:lang w:bidi="ar"/>
              </w:rPr>
            </w:pPr>
          </w:p>
        </w:tc>
        <w:tc>
          <w:tcPr>
            <w:tcW w:w="208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2.知识产权项目跟踪管理与绩效评价</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协助开展知识产权项目全过程监督管理、项目申报及验收评审等工作。</w:t>
            </w: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可独立承担法律责任的省级知识产权行业组织、社会团体</w:t>
            </w:r>
          </w:p>
        </w:tc>
        <w:tc>
          <w:tcPr>
            <w:tcW w:w="828"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81" w:type="dxa"/>
            <w:vMerge w:val="continue"/>
            <w:noWrap w:val="0"/>
            <w:vAlign w:val="center"/>
          </w:tcPr>
          <w:p>
            <w:pPr>
              <w:widowControl/>
              <w:spacing w:line="300" w:lineRule="exact"/>
              <w:jc w:val="center"/>
              <w:textAlignment w:val="center"/>
              <w:rPr>
                <w:rFonts w:hint="eastAsia" w:ascii="宋体" w:hAnsi="宋体" w:eastAsia="宋体" w:cs="宋体"/>
                <w:sz w:val="21"/>
                <w:szCs w:val="21"/>
              </w:rPr>
            </w:pPr>
          </w:p>
        </w:tc>
        <w:tc>
          <w:tcPr>
            <w:tcW w:w="1514" w:type="dxa"/>
            <w:vMerge w:val="continue"/>
            <w:noWrap w:val="0"/>
            <w:vAlign w:val="center"/>
          </w:tcPr>
          <w:p>
            <w:pPr>
              <w:widowControl/>
              <w:spacing w:line="300" w:lineRule="exact"/>
              <w:jc w:val="center"/>
              <w:textAlignment w:val="center"/>
              <w:rPr>
                <w:rFonts w:hint="eastAsia" w:ascii="宋体" w:hAnsi="宋体" w:eastAsia="宋体" w:cs="宋体"/>
                <w:color w:val="auto"/>
                <w:sz w:val="21"/>
                <w:szCs w:val="21"/>
              </w:rPr>
            </w:pPr>
          </w:p>
        </w:tc>
        <w:tc>
          <w:tcPr>
            <w:tcW w:w="2085"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（可加行）</w:t>
            </w:r>
          </w:p>
        </w:tc>
        <w:tc>
          <w:tcPr>
            <w:tcW w:w="421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p>
        </w:tc>
        <w:tc>
          <w:tcPr>
            <w:tcW w:w="2107"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eastAsia" w:ascii="宋体" w:hAnsi="宋体" w:eastAsia="宋体" w:cs="宋体"/>
                <w:color w:val="auto"/>
                <w:sz w:val="21"/>
                <w:szCs w:val="21"/>
              </w:rPr>
            </w:pPr>
          </w:p>
        </w:tc>
        <w:tc>
          <w:tcPr>
            <w:tcW w:w="828"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649" w:type="dxa"/>
            <w:noWrap w:val="0"/>
            <w:vAlign w:val="center"/>
          </w:tcPr>
          <w:p>
            <w:pPr>
              <w:keepNext w:val="0"/>
              <w:keepLines w:val="0"/>
              <w:pageBreakBefore w:val="0"/>
              <w:kinsoku/>
              <w:wordWrap/>
              <w:overflowPunct/>
              <w:topLinePunct w:val="0"/>
              <w:autoSpaceDE/>
              <w:autoSpaceDN/>
              <w:bidi w:val="0"/>
              <w:adjustRightInd/>
              <w:snapToGrid/>
              <w:spacing w:line="34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restart"/>
            <w:noWrap w:val="0"/>
            <w:vAlign w:val="center"/>
          </w:tcPr>
          <w:p>
            <w:pPr>
              <w:widowControl/>
              <w:spacing w:line="300" w:lineRule="exact"/>
              <w:jc w:val="center"/>
              <w:textAlignment w:val="center"/>
              <w:rPr>
                <w:rFonts w:hint="eastAsia" w:ascii="黑体" w:hAnsi="黑体" w:eastAsia="黑体" w:cs="黑体"/>
                <w:sz w:val="21"/>
                <w:szCs w:val="21"/>
              </w:rPr>
            </w:pPr>
            <w:r>
              <w:rPr>
                <w:rFonts w:hint="eastAsia" w:ascii="黑体" w:hAnsi="黑体" w:eastAsia="黑体" w:cs="黑体"/>
                <w:sz w:val="21"/>
                <w:szCs w:val="21"/>
              </w:rPr>
              <w:t>六、知识产权战略规划、软课题研究</w:t>
            </w:r>
          </w:p>
        </w:tc>
        <w:tc>
          <w:tcPr>
            <w:tcW w:w="1514" w:type="dxa"/>
            <w:noWrap w:val="0"/>
            <w:vAlign w:val="center"/>
          </w:tcPr>
          <w:p>
            <w:pPr>
              <w:widowControl/>
              <w:spacing w:line="300" w:lineRule="exact"/>
              <w:jc w:val="center"/>
              <w:textAlignment w:val="center"/>
              <w:rPr>
                <w:rFonts w:hint="eastAsia" w:ascii="宋体" w:hAnsi="宋体" w:eastAsia="宋体" w:cs="宋体"/>
                <w:color w:val="auto"/>
                <w:sz w:val="21"/>
                <w:szCs w:val="21"/>
              </w:rPr>
            </w:pPr>
          </w:p>
        </w:tc>
        <w:tc>
          <w:tcPr>
            <w:tcW w:w="2085"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p>
            <w:pPr>
              <w:widowControl/>
              <w:spacing w:line="300" w:lineRule="exact"/>
              <w:textAlignment w:val="center"/>
              <w:rPr>
                <w:rFonts w:hint="eastAsia" w:ascii="宋体" w:hAnsi="宋体" w:eastAsia="宋体" w:cs="宋体"/>
                <w:color w:val="auto"/>
                <w:sz w:val="21"/>
                <w:szCs w:val="21"/>
              </w:rPr>
            </w:pPr>
          </w:p>
        </w:tc>
        <w:tc>
          <w:tcPr>
            <w:tcW w:w="4215"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2107"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481" w:type="dxa"/>
            <w:vMerge w:val="continue"/>
            <w:noWrap w:val="0"/>
            <w:vAlign w:val="center"/>
          </w:tcPr>
          <w:p>
            <w:pPr>
              <w:widowControl/>
              <w:spacing w:line="300" w:lineRule="exact"/>
              <w:jc w:val="center"/>
              <w:textAlignment w:val="center"/>
              <w:rPr>
                <w:rFonts w:hint="eastAsia" w:ascii="黑体" w:hAnsi="黑体" w:eastAsia="黑体" w:cs="黑体"/>
                <w:sz w:val="21"/>
                <w:szCs w:val="21"/>
              </w:rPr>
            </w:pPr>
          </w:p>
        </w:tc>
        <w:tc>
          <w:tcPr>
            <w:tcW w:w="1514" w:type="dxa"/>
            <w:noWrap w:val="0"/>
            <w:vAlign w:val="center"/>
          </w:tcPr>
          <w:p>
            <w:pPr>
              <w:widowControl/>
              <w:spacing w:line="300" w:lineRule="exact"/>
              <w:jc w:val="center"/>
              <w:textAlignment w:val="center"/>
              <w:rPr>
                <w:rFonts w:hint="eastAsia" w:ascii="宋体" w:hAnsi="宋体" w:eastAsia="宋体" w:cs="宋体"/>
                <w:color w:val="auto"/>
                <w:sz w:val="21"/>
                <w:szCs w:val="21"/>
              </w:rPr>
            </w:pPr>
          </w:p>
        </w:tc>
        <w:tc>
          <w:tcPr>
            <w:tcW w:w="2085"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2.（可加行）</w:t>
            </w:r>
          </w:p>
          <w:p>
            <w:pPr>
              <w:widowControl/>
              <w:spacing w:line="300" w:lineRule="exact"/>
              <w:textAlignment w:val="center"/>
              <w:rPr>
                <w:rFonts w:hint="eastAsia" w:ascii="宋体" w:hAnsi="宋体" w:eastAsia="宋体" w:cs="宋体"/>
                <w:color w:val="auto"/>
                <w:sz w:val="21"/>
                <w:szCs w:val="21"/>
              </w:rPr>
            </w:pPr>
          </w:p>
        </w:tc>
        <w:tc>
          <w:tcPr>
            <w:tcW w:w="4215"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2107"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restart"/>
            <w:noWrap w:val="0"/>
            <w:vAlign w:val="center"/>
          </w:tcPr>
          <w:p>
            <w:pPr>
              <w:widowControl/>
              <w:spacing w:line="300" w:lineRule="exact"/>
              <w:jc w:val="center"/>
              <w:textAlignment w:val="center"/>
              <w:rPr>
                <w:rFonts w:hint="eastAsia" w:ascii="黑体" w:hAnsi="黑体" w:eastAsia="黑体" w:cs="黑体"/>
                <w:sz w:val="21"/>
                <w:szCs w:val="21"/>
              </w:rPr>
            </w:pPr>
            <w:r>
              <w:rPr>
                <w:rFonts w:hint="eastAsia" w:ascii="黑体" w:hAnsi="黑体" w:eastAsia="黑体" w:cs="黑体"/>
                <w:sz w:val="21"/>
                <w:szCs w:val="21"/>
              </w:rPr>
              <w:t>七、知识产权开放合作</w:t>
            </w:r>
          </w:p>
        </w:tc>
        <w:tc>
          <w:tcPr>
            <w:tcW w:w="1514" w:type="dxa"/>
            <w:noWrap w:val="0"/>
            <w:vAlign w:val="center"/>
          </w:tcPr>
          <w:p>
            <w:pPr>
              <w:widowControl/>
              <w:spacing w:line="300" w:lineRule="exact"/>
              <w:jc w:val="center"/>
              <w:textAlignment w:val="center"/>
              <w:rPr>
                <w:rFonts w:hint="eastAsia" w:ascii="宋体" w:hAnsi="宋体" w:eastAsia="宋体" w:cs="宋体"/>
                <w:color w:val="auto"/>
                <w:sz w:val="21"/>
                <w:szCs w:val="21"/>
              </w:rPr>
            </w:pPr>
          </w:p>
        </w:tc>
        <w:tc>
          <w:tcPr>
            <w:tcW w:w="2085"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p>
            <w:pPr>
              <w:widowControl/>
              <w:spacing w:line="300" w:lineRule="exact"/>
              <w:textAlignment w:val="center"/>
              <w:rPr>
                <w:rFonts w:hint="eastAsia" w:ascii="宋体" w:hAnsi="宋体" w:eastAsia="宋体" w:cs="宋体"/>
                <w:color w:val="auto"/>
                <w:sz w:val="21"/>
                <w:szCs w:val="21"/>
              </w:rPr>
            </w:pPr>
          </w:p>
        </w:tc>
        <w:tc>
          <w:tcPr>
            <w:tcW w:w="4215"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2107"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81" w:type="dxa"/>
            <w:vMerge w:val="continue"/>
            <w:noWrap w:val="0"/>
            <w:vAlign w:val="center"/>
          </w:tcPr>
          <w:p>
            <w:pPr>
              <w:widowControl/>
              <w:spacing w:line="300" w:lineRule="exact"/>
              <w:jc w:val="center"/>
              <w:textAlignment w:val="center"/>
              <w:rPr>
                <w:rFonts w:hint="eastAsia" w:ascii="黑体" w:hAnsi="黑体" w:eastAsia="黑体" w:cs="黑体"/>
                <w:sz w:val="21"/>
                <w:szCs w:val="21"/>
              </w:rPr>
            </w:pPr>
          </w:p>
        </w:tc>
        <w:tc>
          <w:tcPr>
            <w:tcW w:w="1514" w:type="dxa"/>
            <w:noWrap w:val="0"/>
            <w:vAlign w:val="center"/>
          </w:tcPr>
          <w:p>
            <w:pPr>
              <w:widowControl/>
              <w:spacing w:line="300" w:lineRule="exact"/>
              <w:jc w:val="center"/>
              <w:textAlignment w:val="center"/>
              <w:rPr>
                <w:rFonts w:hint="eastAsia" w:ascii="宋体" w:hAnsi="宋体" w:eastAsia="宋体" w:cs="宋体"/>
                <w:color w:val="auto"/>
                <w:sz w:val="21"/>
                <w:szCs w:val="21"/>
              </w:rPr>
            </w:pPr>
          </w:p>
        </w:tc>
        <w:tc>
          <w:tcPr>
            <w:tcW w:w="2085"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2.（可加行）</w:t>
            </w:r>
          </w:p>
          <w:p>
            <w:pPr>
              <w:widowControl/>
              <w:spacing w:line="300" w:lineRule="exact"/>
              <w:textAlignment w:val="center"/>
              <w:rPr>
                <w:rFonts w:hint="eastAsia" w:ascii="宋体" w:hAnsi="宋体" w:eastAsia="宋体" w:cs="宋体"/>
                <w:color w:val="auto"/>
                <w:sz w:val="21"/>
                <w:szCs w:val="21"/>
              </w:rPr>
            </w:pPr>
          </w:p>
        </w:tc>
        <w:tc>
          <w:tcPr>
            <w:tcW w:w="4215"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2107"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restart"/>
            <w:noWrap w:val="0"/>
            <w:vAlign w:val="center"/>
          </w:tcPr>
          <w:p>
            <w:pPr>
              <w:widowControl/>
              <w:spacing w:line="300" w:lineRule="exact"/>
              <w:jc w:val="center"/>
              <w:textAlignment w:val="center"/>
              <w:rPr>
                <w:rFonts w:hint="eastAsia" w:ascii="黑体" w:hAnsi="黑体" w:eastAsia="黑体" w:cs="黑体"/>
                <w:sz w:val="21"/>
                <w:szCs w:val="21"/>
              </w:rPr>
            </w:pPr>
            <w:r>
              <w:rPr>
                <w:rFonts w:hint="eastAsia" w:ascii="黑体" w:hAnsi="黑体" w:eastAsia="黑体" w:cs="黑体"/>
                <w:sz w:val="21"/>
                <w:szCs w:val="21"/>
              </w:rPr>
              <w:t>八、知识产权文化传播</w:t>
            </w:r>
          </w:p>
        </w:tc>
        <w:tc>
          <w:tcPr>
            <w:tcW w:w="1514" w:type="dxa"/>
            <w:noWrap w:val="0"/>
            <w:vAlign w:val="center"/>
          </w:tcPr>
          <w:p>
            <w:pPr>
              <w:widowControl/>
              <w:spacing w:line="300" w:lineRule="exact"/>
              <w:jc w:val="center"/>
              <w:textAlignment w:val="center"/>
              <w:rPr>
                <w:rFonts w:hint="eastAsia" w:ascii="宋体" w:hAnsi="宋体" w:eastAsia="宋体" w:cs="宋体"/>
                <w:color w:val="auto"/>
                <w:sz w:val="21"/>
                <w:szCs w:val="21"/>
              </w:rPr>
            </w:pPr>
          </w:p>
        </w:tc>
        <w:tc>
          <w:tcPr>
            <w:tcW w:w="2085"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p>
            <w:pPr>
              <w:widowControl/>
              <w:spacing w:line="300" w:lineRule="exact"/>
              <w:textAlignment w:val="center"/>
              <w:rPr>
                <w:rFonts w:hint="eastAsia" w:ascii="宋体" w:hAnsi="宋体" w:eastAsia="宋体" w:cs="宋体"/>
                <w:color w:val="auto"/>
                <w:sz w:val="21"/>
                <w:szCs w:val="21"/>
              </w:rPr>
            </w:pPr>
          </w:p>
        </w:tc>
        <w:tc>
          <w:tcPr>
            <w:tcW w:w="4215"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2107"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481" w:type="dxa"/>
            <w:vMerge w:val="continue"/>
            <w:noWrap w:val="0"/>
            <w:vAlign w:val="center"/>
          </w:tcPr>
          <w:p>
            <w:pPr>
              <w:spacing w:line="300" w:lineRule="exact"/>
              <w:jc w:val="center"/>
              <w:rPr>
                <w:rFonts w:hint="eastAsia" w:ascii="宋体" w:hAnsi="宋体" w:eastAsia="宋体" w:cs="宋体"/>
                <w:b/>
                <w:bCs/>
                <w:sz w:val="21"/>
                <w:szCs w:val="21"/>
              </w:rPr>
            </w:pPr>
          </w:p>
        </w:tc>
        <w:tc>
          <w:tcPr>
            <w:tcW w:w="1514" w:type="dxa"/>
            <w:noWrap w:val="0"/>
            <w:vAlign w:val="center"/>
          </w:tcPr>
          <w:p>
            <w:pPr>
              <w:widowControl/>
              <w:spacing w:line="300" w:lineRule="exact"/>
              <w:jc w:val="center"/>
              <w:textAlignment w:val="center"/>
              <w:rPr>
                <w:rFonts w:hint="eastAsia" w:ascii="宋体" w:hAnsi="宋体" w:eastAsia="宋体" w:cs="宋体"/>
                <w:color w:val="auto"/>
                <w:sz w:val="21"/>
                <w:szCs w:val="21"/>
              </w:rPr>
            </w:pPr>
          </w:p>
        </w:tc>
        <w:tc>
          <w:tcPr>
            <w:tcW w:w="2085" w:type="dxa"/>
            <w:noWrap w:val="0"/>
            <w:vAlign w:val="center"/>
          </w:tcPr>
          <w:p>
            <w:pPr>
              <w:widowControl/>
              <w:spacing w:line="300" w:lineRule="exact"/>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2.（可加行）</w:t>
            </w:r>
          </w:p>
          <w:p>
            <w:pPr>
              <w:widowControl/>
              <w:spacing w:line="300" w:lineRule="exact"/>
              <w:textAlignment w:val="center"/>
              <w:rPr>
                <w:rFonts w:hint="eastAsia" w:ascii="宋体" w:hAnsi="宋体" w:eastAsia="宋体" w:cs="宋体"/>
                <w:color w:val="auto"/>
                <w:sz w:val="21"/>
                <w:szCs w:val="21"/>
              </w:rPr>
            </w:pPr>
          </w:p>
        </w:tc>
        <w:tc>
          <w:tcPr>
            <w:tcW w:w="4215"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2107" w:type="dxa"/>
            <w:noWrap w:val="0"/>
            <w:vAlign w:val="center"/>
          </w:tcPr>
          <w:p>
            <w:pPr>
              <w:widowControl/>
              <w:spacing w:line="300" w:lineRule="exact"/>
              <w:textAlignment w:val="center"/>
              <w:rPr>
                <w:rFonts w:hint="eastAsia" w:ascii="宋体" w:hAnsi="宋体" w:eastAsia="宋体" w:cs="宋体"/>
                <w:color w:val="auto"/>
                <w:sz w:val="21"/>
                <w:szCs w:val="21"/>
              </w:rPr>
            </w:pPr>
          </w:p>
        </w:tc>
        <w:tc>
          <w:tcPr>
            <w:tcW w:w="828" w:type="dxa"/>
            <w:noWrap w:val="0"/>
            <w:vAlign w:val="center"/>
          </w:tcPr>
          <w:p>
            <w:pPr>
              <w:spacing w:line="300" w:lineRule="exact"/>
              <w:rPr>
                <w:rFonts w:hint="eastAsia" w:ascii="宋体" w:hAnsi="宋体" w:eastAsia="宋体" w:cs="宋体"/>
                <w:color w:val="auto"/>
                <w:sz w:val="21"/>
                <w:szCs w:val="21"/>
              </w:rPr>
            </w:pPr>
          </w:p>
        </w:tc>
        <w:tc>
          <w:tcPr>
            <w:tcW w:w="1649" w:type="dxa"/>
            <w:noWrap w:val="0"/>
            <w:vAlign w:val="center"/>
          </w:tcPr>
          <w:p>
            <w:pPr>
              <w:spacing w:line="300" w:lineRule="exact"/>
              <w:rPr>
                <w:rFonts w:hint="eastAsia" w:ascii="宋体" w:hAnsi="宋体" w:eastAsia="宋体" w:cs="宋体"/>
                <w:color w:val="auto"/>
                <w:sz w:val="21"/>
                <w:szCs w:val="21"/>
              </w:rPr>
            </w:pPr>
          </w:p>
        </w:tc>
        <w:tc>
          <w:tcPr>
            <w:tcW w:w="1199" w:type="dxa"/>
            <w:noWrap w:val="0"/>
            <w:vAlign w:val="center"/>
          </w:tcPr>
          <w:p>
            <w:pPr>
              <w:spacing w:line="300" w:lineRule="exact"/>
              <w:rPr>
                <w:rFonts w:hint="eastAsia" w:ascii="宋体" w:hAnsi="宋体" w:eastAsia="宋体" w:cs="宋体"/>
                <w:color w:val="auto"/>
                <w:sz w:val="21"/>
                <w:szCs w:val="21"/>
              </w:rPr>
            </w:pPr>
          </w:p>
        </w:tc>
      </w:tr>
    </w:tbl>
    <w:p>
      <w:pPr>
        <w:rPr>
          <w:rFonts w:hint="eastAsia" w:ascii="宋体" w:hAnsi="宋体" w:eastAsia="宋体" w:cs="宋体"/>
          <w:sz w:val="21"/>
          <w:szCs w:val="21"/>
        </w:rPr>
      </w:pPr>
    </w:p>
    <w:p>
      <w:pPr>
        <w:rPr>
          <w:rFonts w:hint="eastAsia" w:ascii="仿宋_GB2312"/>
          <w:szCs w:val="30"/>
        </w:rPr>
      </w:pPr>
      <w:r>
        <w:rPr>
          <w:rFonts w:hint="eastAsia" w:ascii="仿宋_GB2312"/>
          <w:szCs w:val="30"/>
        </w:rPr>
        <w:t xml:space="preserve">                             </w:t>
      </w:r>
    </w:p>
    <w:p>
      <w:pPr>
        <w:rPr>
          <w:rFonts w:hint="eastAsia" w:ascii="仿宋_GB2312"/>
          <w:szCs w:val="30"/>
        </w:rPr>
        <w:sectPr>
          <w:headerReference r:id="rId3" w:type="default"/>
          <w:footerReference r:id="rId5" w:type="default"/>
          <w:headerReference r:id="rId4" w:type="even"/>
          <w:footerReference r:id="rId6" w:type="even"/>
          <w:pgSz w:w="16838" w:h="11906" w:orient="landscape"/>
          <w:pgMar w:top="1587" w:right="1247" w:bottom="1417" w:left="1247" w:header="851" w:footer="1372" w:gutter="0"/>
          <w:pgNumType w:fmt="decimal"/>
          <w:cols w:space="720" w:num="1"/>
          <w:docGrid w:type="lines" w:linePitch="44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320" w:leftChars="100" w:right="320" w:rightChars="100"/>
                            <w:rPr>
                              <w:rStyle w:val="6"/>
                              <w:rFonts w:ascii="宋体" w:hAnsi="宋体"/>
                              <w:sz w:val="28"/>
                            </w:rPr>
                          </w:pPr>
                          <w:r>
                            <w:rPr>
                              <w:rStyle w:val="6"/>
                              <w:rFonts w:hint="eastAsia" w:ascii="宋体" w:hAnsi="宋体"/>
                              <w:sz w:val="28"/>
                            </w:rPr>
                            <w:t xml:space="preserve">— </w:t>
                          </w:r>
                          <w:r>
                            <w:rPr>
                              <w:rFonts w:hint="eastAsia" w:ascii="宋体" w:hAnsi="宋体"/>
                              <w:sz w:val="28"/>
                            </w:rPr>
                            <w:fldChar w:fldCharType="begin"/>
                          </w:r>
                          <w:r>
                            <w:rPr>
                              <w:rStyle w:val="6"/>
                              <w:rFonts w:hint="eastAsia" w:ascii="宋体" w:hAnsi="宋体"/>
                              <w:sz w:val="28"/>
                            </w:rPr>
                            <w:instrText xml:space="preserve">PAGE  </w:instrText>
                          </w:r>
                          <w:r>
                            <w:rPr>
                              <w:rFonts w:ascii="宋体" w:hAnsi="宋体"/>
                              <w:sz w:val="28"/>
                            </w:rPr>
                            <w:fldChar w:fldCharType="separate"/>
                          </w:r>
                          <w:r>
                            <w:rPr>
                              <w:rStyle w:val="6"/>
                              <w:rFonts w:ascii="宋体" w:hAnsi="宋体"/>
                              <w:sz w:val="28"/>
                            </w:rPr>
                            <w:t>1</w:t>
                          </w:r>
                          <w:r>
                            <w:rPr>
                              <w:rFonts w:hint="eastAsia" w:ascii="宋体" w:hAnsi="宋体"/>
                              <w:sz w:val="28"/>
                            </w:rPr>
                            <w:fldChar w:fldCharType="end"/>
                          </w:r>
                          <w:r>
                            <w:rPr>
                              <w:rStyle w:val="6"/>
                              <w:rFonts w:hint="eastAsia" w:ascii="宋体" w:hAnsi="宋体"/>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ind w:left="320" w:leftChars="100" w:right="320" w:rightChars="100"/>
                      <w:rPr>
                        <w:rStyle w:val="6"/>
                        <w:rFonts w:ascii="宋体" w:hAnsi="宋体"/>
                        <w:sz w:val="28"/>
                      </w:rPr>
                    </w:pPr>
                    <w:r>
                      <w:rPr>
                        <w:rStyle w:val="6"/>
                        <w:rFonts w:hint="eastAsia" w:ascii="宋体" w:hAnsi="宋体"/>
                        <w:sz w:val="28"/>
                      </w:rPr>
                      <w:t xml:space="preserve">— </w:t>
                    </w:r>
                    <w:r>
                      <w:rPr>
                        <w:rFonts w:hint="eastAsia" w:ascii="宋体" w:hAnsi="宋体"/>
                        <w:sz w:val="28"/>
                      </w:rPr>
                      <w:fldChar w:fldCharType="begin"/>
                    </w:r>
                    <w:r>
                      <w:rPr>
                        <w:rStyle w:val="6"/>
                        <w:rFonts w:hint="eastAsia" w:ascii="宋体" w:hAnsi="宋体"/>
                        <w:sz w:val="28"/>
                      </w:rPr>
                      <w:instrText xml:space="preserve">PAGE  </w:instrText>
                    </w:r>
                    <w:r>
                      <w:rPr>
                        <w:rFonts w:ascii="宋体" w:hAnsi="宋体"/>
                        <w:sz w:val="28"/>
                      </w:rPr>
                      <w:fldChar w:fldCharType="separate"/>
                    </w:r>
                    <w:r>
                      <w:rPr>
                        <w:rStyle w:val="6"/>
                        <w:rFonts w:ascii="宋体" w:hAnsi="宋体"/>
                        <w:sz w:val="28"/>
                      </w:rPr>
                      <w:t>1</w:t>
                    </w:r>
                    <w:r>
                      <w:rPr>
                        <w:rFonts w:hint="eastAsia" w:ascii="宋体" w:hAnsi="宋体"/>
                        <w:sz w:val="28"/>
                      </w:rPr>
                      <w:fldChar w:fldCharType="end"/>
                    </w:r>
                    <w:r>
                      <w:rPr>
                        <w:rStyle w:val="6"/>
                        <w:rFonts w:hint="eastAsia" w:ascii="宋体" w:hAns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320" w:leftChars="100" w:right="320" w:rightChars="100"/>
                            <w:rPr>
                              <w:rStyle w:val="6"/>
                              <w:rFonts w:ascii="宋体" w:hAnsi="宋体"/>
                              <w:sz w:val="28"/>
                            </w:rPr>
                          </w:pPr>
                          <w:r>
                            <w:rPr>
                              <w:rStyle w:val="6"/>
                              <w:rFonts w:hint="eastAsia" w:ascii="宋体" w:hAnsi="宋体"/>
                              <w:sz w:val="28"/>
                            </w:rPr>
                            <w:t xml:space="preserve">— </w:t>
                          </w:r>
                          <w:r>
                            <w:rPr>
                              <w:rFonts w:hint="eastAsia" w:ascii="宋体" w:hAnsi="宋体"/>
                              <w:sz w:val="28"/>
                            </w:rPr>
                            <w:fldChar w:fldCharType="begin"/>
                          </w:r>
                          <w:r>
                            <w:rPr>
                              <w:rStyle w:val="6"/>
                              <w:rFonts w:hint="eastAsia" w:ascii="宋体" w:hAnsi="宋体"/>
                              <w:sz w:val="28"/>
                            </w:rPr>
                            <w:instrText xml:space="preserve">PAGE  </w:instrText>
                          </w:r>
                          <w:r>
                            <w:rPr>
                              <w:rFonts w:ascii="宋体" w:hAnsi="宋体"/>
                              <w:sz w:val="28"/>
                            </w:rPr>
                            <w:fldChar w:fldCharType="separate"/>
                          </w:r>
                          <w:r>
                            <w:rPr>
                              <w:rStyle w:val="6"/>
                              <w:rFonts w:ascii="宋体" w:hAnsi="宋体"/>
                              <w:sz w:val="28"/>
                            </w:rPr>
                            <w:t>2</w:t>
                          </w:r>
                          <w:r>
                            <w:rPr>
                              <w:rFonts w:hint="eastAsia" w:ascii="宋体" w:hAnsi="宋体"/>
                              <w:sz w:val="28"/>
                            </w:rPr>
                            <w:fldChar w:fldCharType="end"/>
                          </w:r>
                          <w:r>
                            <w:rPr>
                              <w:rStyle w:val="6"/>
                              <w:rFonts w:hint="eastAsia" w:ascii="宋体" w:hAnsi="宋体"/>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ind w:left="320" w:leftChars="100" w:right="320" w:rightChars="100"/>
                      <w:rPr>
                        <w:rStyle w:val="6"/>
                        <w:rFonts w:ascii="宋体" w:hAnsi="宋体"/>
                        <w:sz w:val="28"/>
                      </w:rPr>
                    </w:pPr>
                    <w:r>
                      <w:rPr>
                        <w:rStyle w:val="6"/>
                        <w:rFonts w:hint="eastAsia" w:ascii="宋体" w:hAnsi="宋体"/>
                        <w:sz w:val="28"/>
                      </w:rPr>
                      <w:t xml:space="preserve">— </w:t>
                    </w:r>
                    <w:r>
                      <w:rPr>
                        <w:rFonts w:hint="eastAsia" w:ascii="宋体" w:hAnsi="宋体"/>
                        <w:sz w:val="28"/>
                      </w:rPr>
                      <w:fldChar w:fldCharType="begin"/>
                    </w:r>
                    <w:r>
                      <w:rPr>
                        <w:rStyle w:val="6"/>
                        <w:rFonts w:hint="eastAsia" w:ascii="宋体" w:hAnsi="宋体"/>
                        <w:sz w:val="28"/>
                      </w:rPr>
                      <w:instrText xml:space="preserve">PAGE  </w:instrText>
                    </w:r>
                    <w:r>
                      <w:rPr>
                        <w:rFonts w:ascii="宋体" w:hAnsi="宋体"/>
                        <w:sz w:val="28"/>
                      </w:rPr>
                      <w:fldChar w:fldCharType="separate"/>
                    </w:r>
                    <w:r>
                      <w:rPr>
                        <w:rStyle w:val="6"/>
                        <w:rFonts w:ascii="宋体" w:hAnsi="宋体"/>
                        <w:sz w:val="28"/>
                      </w:rPr>
                      <w:t>2</w:t>
                    </w:r>
                    <w:r>
                      <w:rPr>
                        <w:rFonts w:hint="eastAsia" w:ascii="宋体" w:hAnsi="宋体"/>
                        <w:sz w:val="28"/>
                      </w:rPr>
                      <w:fldChar w:fldCharType="end"/>
                    </w:r>
                    <w:r>
                      <w:rPr>
                        <w:rStyle w:val="6"/>
                        <w:rFonts w:hint="eastAsia" w:ascii="宋体" w:hAnsi="宋体"/>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5E0364"/>
    <w:multiLevelType w:val="multilevel"/>
    <w:tmpl w:val="0D5E03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401739"/>
    <w:multiLevelType w:val="multilevel"/>
    <w:tmpl w:val="104017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6DA5947"/>
    <w:multiLevelType w:val="multilevel"/>
    <w:tmpl w:val="16DA59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8402A5"/>
    <w:multiLevelType w:val="multilevel"/>
    <w:tmpl w:val="498402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2FF2FB5"/>
    <w:multiLevelType w:val="multilevel"/>
    <w:tmpl w:val="62FF2FB5"/>
    <w:lvl w:ilvl="0" w:tentative="0">
      <w:start w:val="1"/>
      <w:numFmt w:val="decimal"/>
      <w:lvlText w:val="%1."/>
      <w:lvlJc w:val="left"/>
      <w:pPr>
        <w:ind w:left="405" w:hanging="4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A2FF6"/>
    <w:rsid w:val="442A2F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2021-06-23T02:21:00Z</dcterms:created>
  <dc:creator>小莉</dc:creator>
  <cp:lastModifiedBy>小莉</cp:lastModifiedBy>
  <dcterms:modified xsi:type="dcterms:W3CDTF">2021-06-23T02:21:42Z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BFCACB9E89284757B802CEBE584236A2</vt:lpwstr>
  </property>
</Properties>
</file>